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2057400" cy="1234440"/>
            <wp:docPr id="1" name="Picture 1" title="London Reporting Academy logo" descr="London Reporting Academy logo."/>
            <wp:cNvGraphicFramePr>
              <a:graphicFrameLocks noChangeAspect="1"/>
            </wp:cNvGraphicFramePr>
            <a:graphic>
              <a:graphicData uri="http://schemas.openxmlformats.org/drawingml/2006/picture">
                <pic:pic>
                  <pic:nvPicPr>
                    <pic:cNvPr id="0" name="lra_logo.png"/>
                    <pic:cNvPicPr/>
                  </pic:nvPicPr>
                  <pic:blipFill>
                    <a:blip r:embed="rId39"/>
                    <a:stretch>
                      <a:fillRect/>
                    </a:stretch>
                  </pic:blipFill>
                  <pic:spPr>
                    <a:xfrm>
                      <a:off x="0" y="0"/>
                      <a:ext cx="2057400" cy="1234440"/>
                    </a:xfrm>
                    <a:prstGeom prst="rect"/>
                  </pic:spPr>
                </pic:pic>
              </a:graphicData>
            </a:graphic>
          </wp:inline>
        </w:drawing>
      </w:r>
    </w:p>
    <w:p>
      <w:pPr>
        <w:spacing w:after="80"/>
        <w:jc w:val="left"/>
        <w:bidi w:val="1"/>
      </w:pPr>
      <w:r>
        <w:rPr>
          <w:rFonts w:ascii="Arial" w:hAnsi="Arial"/>
          <w:b/>
          <w:color w:val="173F73"/>
          <w:sz w:val="15"/>
          <w:rtl w:val="1"/>
        </w:rPr>
        <w:t>LRA مركز المعرفة · TNFD حزمة الإنتاج</w:t>
      </w:r>
    </w:p>
    <w:p>
      <w:pPr>
        <w:pStyle w:val="Title"/>
        <w:bidi w:val="1"/>
      </w:pPr>
      <w:r>
        <w:rPr>
          <w:rtl w:val="1"/>
        </w:rPr>
        <w:t>TNFD استبيانات البيانات الطبيعة ومصفوفة الأدلة للموردين</w:t>
      </w:r>
    </w:p>
    <w:p>
      <w:pPr>
        <w:pStyle w:val="Subtitle"/>
        <w:bidi w:val="1"/>
      </w:pPr>
      <w:r>
        <w:rPr>
          <w:rtl w:val="1"/>
        </w:rPr>
        <w:t>أداة المشتريات التي يمكن تحديدها لطلبات البيانات الطبيعية المتساوية للموردين والشركات الصغيرة والمتوسطة</w:t>
      </w:r>
    </w:p>
    <w:tbl>
      <w:tblPr>
        <w:tblW w:type="auto" w:w="0"/>
        <w:jc w:val="left"/>
        <w:tblLook w:firstColumn="1" w:firstRow="1" w:lastColumn="0" w:lastRow="0" w:noHBand="0" w:noVBand="1" w:val="04A0"/>
      </w:tblPr>
      <w:tblGrid>
        <w:gridCol w:w="15628"/>
      </w:tblGrid>
      <w:tr>
        <w:tc>
          <w:tcPr>
            <w:tcW w:type="dxa" w:w="15628"/>
            <w:shd w:fill="E7F5F3"/>
            <w:tcBorders>
              <w:top w:val="single" w:sz="6" w:color="157A6E"/>
              <w:left w:val="single" w:sz="12" w:color="157A6E"/>
              <w:bottom w:val="single" w:sz="6" w:color="157A6E"/>
              <w:right w:val="single" w:sz="6" w:color="157A6E"/>
            </w:tcBorders>
          </w:tcPr>
          <w:p>
            <w:pPr>
              <w:spacing w:after="40"/>
              <w:bidi w:val="1"/>
            </w:pPr>
            <w:r>
              <w:rPr>
                <w:rFonts w:ascii="Arial" w:hAnsi="Arial"/>
                <w:b/>
                <w:color w:val="157A6E"/>
                <w:sz w:val="18"/>
                <w:rtl w:val="1"/>
              </w:rPr>
              <w:t>تحكم الحزمة رقم الهوية الحزمة: TNFD-SUP-TOOL-001. مجموعة المصادر تم مراجعتها 3 أغسطس 2026. تم إعدادها باللغة الإنجليزية البريطانية. LRA الموافقة الفنية والإدراكي.</w:t>
              <w:br/>
            </w:r>
            <w:r>
              <w:rPr>
                <w:rFonts w:ascii="Arial" w:hAnsi="Arial"/>
                <w:color w:val="253446"/>
                <w:sz w:val="17"/>
                <w:rtl w:val="1"/>
              </w:rPr>
              <w:t/>
            </w:r>
          </w:p>
        </w:tc>
      </w:tr>
    </w:tbl>
    <w:p>
      <w:pPr>
        <w:spacing w:after="0"/>
      </w:pPr>
    </w:p>
    <w:p>
      <w:r>
        <w:br w:type="page"/>
      </w:r>
    </w:p>
    <w:p>
      <w:pPr>
        <w:pStyle w:val="Heading2"/>
        <w:keepNext/>
        <w:bidi w:val="1"/>
      </w:pPr>
      <w:r>
        <w:rPr>
          <w:rtl w:val="1"/>
        </w:rPr>
        <w:t>1كيفية استخدام هذه الأداة</w:t>
      </w:r>
    </w:p>
    <w:p>
      <w:pPr>
        <w:bidi w:val="1"/>
      </w:pPr>
      <w:r>
        <w:rPr>
          <w:rtl w:val="1"/>
        </w:rPr>
        <w:t>هذا هو LRA نموذج تنفيذ، ليس رسميًا TNFD, GRI أو ESRS استخدام جدول التفتيش أولاً. إصدار الحد الأدنى للورز المعنيين. إضافة وحدات متطورة فقط عندما يبرر ذلك القطاع أو السلع أو الموقع أو النقطة المهمة في الأعمال أو ثغرات الأدلة. استبدل نص مقدم المواقع، وتحدد فترة الإبلاغ وتطبيق مراجعة قانونية والمشتريات والتنافس والخصوصية والأمن وحقوق الإنسان حسب الصلة.</w:t>
      </w:r>
    </w:p>
    <w:tbl>
      <w:tblPr>
        <w:tblW w:type="auto" w:w="0"/>
        <w:jc w:val="left"/>
        <w:tblLook w:firstColumn="1" w:firstRow="1" w:lastColumn="0" w:lastRow="0" w:noHBand="0" w:noVBand="1" w:val="04A0"/>
      </w:tblPr>
      <w:tblGrid>
        <w:gridCol w:w="15628"/>
      </w:tblGrid>
      <w:tr>
        <w:tc>
          <w:tcPr>
            <w:tcW w:type="dxa" w:w="15628"/>
            <w:shd w:fill="FFF4D8"/>
            <w:tcBorders>
              <w:top w:val="single" w:sz="6" w:color="9A6B00"/>
              <w:left w:val="single" w:sz="12" w:color="9A6B00"/>
              <w:bottom w:val="single" w:sz="6" w:color="9A6B00"/>
              <w:right w:val="single" w:sz="6" w:color="9A6B00"/>
            </w:tcBorders>
          </w:tcPr>
          <w:p>
            <w:pPr>
              <w:spacing w:after="40"/>
              <w:bidi w:val="1"/>
            </w:pPr>
            <w:r>
              <w:rPr>
                <w:rFonts w:ascii="Arial" w:hAnsi="Arial"/>
                <w:b/>
                <w:color w:val="9A6B00"/>
                <w:sz w:val="18"/>
                <w:rtl w:val="1"/>
              </w:rPr>
              <w:t>قاعدة النسبية لا تتطلب SME لتحديد آثار التنوع البيولوجي أو جمع بيانات على مستوى المساحة ما لم يتمكن المشتري من شرح القرار والطاقة والطريقة والدعم والاستخدام. تقبل "غير معروف" و"تقدير" و"سرية" كحالات خاضعة للسيطرة، وليس كظروف فارغة ساكنة.</w:t>
              <w:br/>
            </w:r>
            <w:r>
              <w:rPr>
                <w:rFonts w:ascii="Arial" w:hAnsi="Arial"/>
                <w:color w:val="253446"/>
                <w:sz w:val="17"/>
                <w:rtl w:val="1"/>
              </w:rPr>
              <w:t/>
            </w:r>
          </w:p>
        </w:tc>
      </w:tr>
    </w:tbl>
    <w:p>
      <w:pPr>
        <w:spacing w:after="0"/>
      </w:pPr>
    </w:p>
    <w:p>
      <w:pPr>
        <w:pStyle w:val="Heading2"/>
        <w:keepNext/>
        <w:bidi w:val="1"/>
      </w:pPr>
      <w:r>
        <w:rPr>
          <w:rtl w:val="1"/>
        </w:rPr>
        <w:t>2. فحص المشتري وقرار الوحدة</w:t>
      </w:r>
    </w:p>
    <w:tbl>
      <w:tblPr>
        <w:tblStyle w:val="TableGrid"/>
        <w:tblW w:type="auto" w:w="0"/>
        <w:jc w:val="left"/>
        <w:tblLayout w:type="fixed"/>
        <w:tblLook w:firstColumn="1" w:firstRow="1" w:lastColumn="0" w:lastRow="0" w:noHBand="0" w:noVBand="1" w:val="04A0"/>
      </w:tblPr>
      <w:tblGrid>
        <w:gridCol w:w="1953"/>
        <w:gridCol w:w="1953"/>
        <w:gridCol w:w="1953"/>
        <w:gridCol w:w="1953"/>
        <w:gridCol w:w="1953"/>
        <w:gridCol w:w="1953"/>
        <w:gridCol w:w="1953"/>
        <w:gridCol w:w="1953"/>
      </w:tblGrid>
      <w:tr>
        <w:trPr>
          <w:tblHeader w:val="true"/>
          <w:cantSplit/>
        </w:trPr>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المورد / الفئة</w:t>
            </w:r>
          </w:p>
        </w:tc>
        <w:tc>
          <w:tcPr>
            <w:tcW w:type="dxa" w:w="972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المنتج أو السلع</w:t>
            </w:r>
          </w:p>
        </w:tc>
        <w:tc>
          <w:tcPr>
            <w:tcW w:type="dxa" w:w="756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النشاط</w:t>
            </w:r>
          </w:p>
        </w:tc>
        <w:tc>
          <w:tcPr>
            <w:tcW w:type="dxa" w:w="827999"/>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البلد / المنطقة</w:t>
            </w:r>
          </w:p>
        </w:tc>
        <w:tc>
          <w:tcPr>
            <w:tcW w:type="dxa" w:w="720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النفقات / الحجم</w:t>
            </w:r>
          </w:p>
        </w:tc>
        <w:tc>
          <w:tcPr>
            <w:tcW w:type="dxa" w:w="1188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سبب الأولوية الطبيعية</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ما يطلبه الوحدة</w:t>
            </w:r>
          </w:p>
        </w:tc>
        <w:tc>
          <w:tcPr>
            <w:tcW w:type="dxa" w:w="720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المالك</w:t>
            </w:r>
          </w:p>
        </w:tc>
      </w:tr>
      <w:tr>
        <w:trPr>
          <w:cantSplit/>
        </w:trPr>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972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756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827999"/>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1188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[قطاع / سلع / موقع / حادثة / حرجة / فجوة]</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[الجزء الأساسي / المياه / الأرض / السلع / التلوث / الحقوق / الأهداف]</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r>
      <w:tr>
        <w:trPr>
          <w:cantSplit/>
        </w:trPr>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972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756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827999"/>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72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1188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72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r>
      <w:tr>
        <w:trPr>
          <w:cantSplit/>
        </w:trPr>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972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756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827999"/>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1188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r>
    </w:tbl>
    <w:p>
      <w:pPr>
        <w:spacing w:after="0"/>
      </w:pPr>
    </w:p>
    <w:p>
      <w:pPr>
        <w:pStyle w:val="Heading2"/>
        <w:keepNext/>
        <w:bidi w:val="1"/>
      </w:pPr>
      <w:r>
        <w:rPr>
          <w:rtl w:val="1"/>
        </w:rPr>
        <w:t>3تعليمات الموردين</w:t>
      </w:r>
    </w:p>
    <w:p>
      <w:pPr>
        <w:pStyle w:val="ListBullet"/>
        <w:bidi w:val="1"/>
      </w:pPr>
      <w:r>
        <w:rPr>
          <w:rtl w:val="1"/>
        </w:rPr>
        <w:t>تقرير لفترة: [إدخل الفترة]. إشارة حيث ترتبط الإجابة بفترة مختلفة.</w:t>
      </w:r>
    </w:p>
    <w:p>
      <w:pPr>
        <w:pStyle w:val="ListBullet"/>
        <w:bidi w:val="1"/>
      </w:pPr>
      <w:r>
        <w:rPr>
          <w:rtl w:val="1"/>
        </w:rPr>
        <w:t>استخدام مكان النشاط والإنتاج ذات الصلة بالمنتج أو الخدمة المقدمة، وليس فقط المقر القانوني.</w:t>
      </w:r>
    </w:p>
    <w:p>
      <w:pPr>
        <w:pStyle w:val="ListBullet"/>
        <w:bidi w:val="1"/>
      </w:pPr>
      <w:r>
        <w:rPr>
          <w:rtl w:val="1"/>
        </w:rPr>
        <w:t>اختر حالة استجابة واحدة لكل حقل: قياس، تقدير، نموذج، مجهول، غير قابل للتطبيق أو سرية.</w:t>
      </w:r>
    </w:p>
    <w:p>
      <w:pPr>
        <w:pStyle w:val="ListBullet"/>
        <w:bidi w:val="1"/>
      </w:pPr>
      <w:r>
        <w:rPr>
          <w:rtl w:val="1"/>
        </w:rPr>
        <w:t>تحديد مصدر الأدلة ومدة صلاحيتها. لا تنشر وثائق بيئية غير مرتبطة بها.</w:t>
      </w:r>
    </w:p>
    <w:p>
      <w:pPr>
        <w:pStyle w:val="ListBullet"/>
        <w:bidi w:val="1"/>
      </w:pPr>
      <w:r>
        <w:rPr>
          <w:rtl w:val="1"/>
        </w:rPr>
        <w:t>عندما تكون إحداثيات الدقة سرية، اختر خيار الحد من الوصول أو جمعها وشرح السبب.</w:t>
      </w:r>
    </w:p>
    <w:p>
      <w:pPr>
        <w:pStyle w:val="ListBullet"/>
        <w:bidi w:val="1"/>
      </w:pPr>
      <w:r>
        <w:rPr>
          <w:rtl w:val="1"/>
        </w:rPr>
        <w:t>تحديد أي فجوة في البيانات واقترح تاريخ تحسين واقعي أو الدعم اللازم.</w:t>
      </w:r>
    </w:p>
    <w:p>
      <w:pPr>
        <w:pStyle w:val="Heading2"/>
        <w:keepNext/>
        <w:bidi w:val="1"/>
      </w:pPr>
      <w:r>
        <w:rPr>
          <w:rtl w:val="1"/>
        </w:rPr>
        <w:t>4. استبيان أساسي أدنى</w:t>
      </w:r>
    </w:p>
    <w:tbl>
      <w:tblPr>
        <w:tblStyle w:val="TableGrid"/>
        <w:tblW w:type="auto" w:w="0"/>
        <w:jc w:val="left"/>
        <w:tblLayout w:type="fixed"/>
        <w:tblLook w:firstColumn="1" w:firstRow="1" w:lastColumn="0" w:lastRow="0" w:noHBand="0" w:noVBand="1" w:val="04A0"/>
      </w:tblPr>
      <w:tblGrid>
        <w:gridCol w:w="2605"/>
        <w:gridCol w:w="2605"/>
        <w:gridCol w:w="2605"/>
        <w:gridCol w:w="2605"/>
        <w:gridCol w:w="2605"/>
        <w:gridCol w:w="2605"/>
      </w:tblGrid>
      <w:tr>
        <w:trPr>
          <w:tblHeader w:val="true"/>
          <w:cantSplit/>
        </w:trPr>
        <w:tc>
          <w:tcPr>
            <w:tcW w:type="dxa" w:w="360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ID</w:t>
            </w:r>
          </w:p>
        </w:tc>
        <w:tc>
          <w:tcPr>
            <w:tcW w:type="dxa" w:w="864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الحقل</w:t>
            </w:r>
          </w:p>
        </w:tc>
        <w:tc>
          <w:tcPr>
            <w:tcW w:type="dxa" w:w="2088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الإعلان عن المورد</w:t>
            </w:r>
          </w:p>
        </w:tc>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نوع الاستجابة</w:t>
            </w:r>
          </w:p>
        </w:tc>
        <w:tc>
          <w:tcPr>
            <w:tcW w:type="dxa" w:w="1475999"/>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دليل اقترح</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الرد</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C01</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الكيان والمرافق</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الكيان القانوني، والكيان التشغيلي والمرافق أو النشاط الذي يقدم المشتري.</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النص</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العقد، المورد الرئيسي، قائمة المنشآت</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[استجابة المورد]</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C02</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المنتج / الخدمة</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المنتجات والخدمات والسلع الطبيعية الرئيسية أو المواد المزودة.</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النص / القائمة</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المواصفات، وحدة المواد، الفواتير</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[استجابة المورد]</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C03</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النشاط</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إنتاج، زراعة، استخرج، عملية، التجارة، النقل، البناء، التشغيل أو تقديم الخدمات.</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إختيار / نص</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رخصة عمل وصف العملية</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[استجابة المورد]</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C04</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موقع الإنتاج</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البلد والمنطقة، الإحداثيات أو المتعددات إذا كانت متاحة وطبقاً لذلك.</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الموقع + الثقة</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خريطة، سجل، جهاز تحديد المواقع، عنوان مُرمّد جغرافيًا</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[استجابة المورد]</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C05</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المنشأ / التتبعية</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بالنسبة للمواد المتداولة أو المعالجة، أقرب مصدر معروف من قبل المياه والمئات المغطاة.</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البلد / المنطقة / الموقع / المساحة / غير معروفة</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سلسلة الاحتفاظ، قائمة الموردين، رصيد الكتلة</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[استجابة المورد]</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C06</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واجهة المياه</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الاعتماد المادي على توافر المياه، جودةها، تدفقها، الفيضانات أو النظم البيئية أو تأثيره عليها.</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نعم / لا / مجهول + تفسير</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السماح، المعداد، شاشة حوض، ميزان المياه</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[استجابة المورد]</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C07</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واجهة الأرض / التنوع البيولوجي</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استخدام الأراضي، وموائلها، التربة، الأنواع، خدمات النظم الإيكولوجية أو أهمية الموقع الحساس.</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نعم / لا / مجهول + تفسير</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خطة الموقع، مسح، الاستشعار عن بعد، مراجعة</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[استجابة المورد]</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C08</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السيطرة والإذن</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السياسات والإجراءات والإذن والشهادات ذات الصلة ومدى وتوفيرها.</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القائمة</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الوثائق الحالية المراقبة</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[استجابة المورد]</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C09</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الحوادث والشكاوى</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الحوادث المادية، التنفيذ، الشكاوى غير المصحوبة أو التعويضات خلال الفترة.</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نعم / لا / مقيدة + شرح</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سجل الحوادث، سجل الهيئة التنظيمية، سجل الشكاوى</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[استجابة المورد]</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C10</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المقاييس والهدف</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المقاييس أو الأهداف ذات الصلة بالطبيعة التي تستخدم للنشاط أو المنتج المقدم.</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النص / الرقمية</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المنهجية، الخط الأساسي، موافقة الهدف، ملف التقدم</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[استجابة المورد]</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C11</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حالة الأدلة</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للحصول على إجابات ماديّة، حدد المصدر والفترة وما إذا كان مقاسًا أو تقديرًا أو نموذجًا.</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سجل الأدلة</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هوية الوثيقة / عنوان URL / صاحبها</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[استجابة المورد]</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C12</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ثغرات البيانات</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الحقول غير متوفرة، لماذا، وكيل مؤقت وتاريخ التحسين المتوقع.</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خطة الفجوة</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خطة تحسين مصرح عليها</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[استجابة المورد]</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C13</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السرية</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الحقول التي تتطلب إمكانية الوصول المحدود أو التخفيض أو التجميع أو التحقق من طرف ثالث.</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إختيار + سبب</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اتفاقية عدم إفصاح، اتفاقية مشاركة البيانات، التحكم في الوصول</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[استجابة المورد]</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C14</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الاتصال المسؤول</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الدور المسؤول عن الإجابات والمتابعة.</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اسم / دور / بريد إلكتروني</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موافقة الإدارة</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[استجابة المورد]</w:t>
            </w:r>
          </w:p>
        </w:tc>
      </w:tr>
    </w:tbl>
    <w:p>
      <w:pPr>
        <w:spacing w:after="0"/>
      </w:pPr>
    </w:p>
    <w:p>
      <w:pPr>
        <w:pStyle w:val="Heading2"/>
        <w:keepNext/>
        <w:bidi w:val="1"/>
      </w:pPr>
      <w:r>
        <w:rPr>
          <w:rtl w:val="1"/>
        </w:rPr>
        <w:t>5- وحدات السلع المتقدمة والمتتبعية المُحسّنة</w:t>
      </w:r>
    </w:p>
    <w:tbl>
      <w:tblPr>
        <w:tblStyle w:val="TableGrid"/>
        <w:tblW w:type="auto" w:w="0"/>
        <w:jc w:val="left"/>
        <w:tblLayout w:type="fixed"/>
        <w:tblLook w:firstColumn="1" w:firstRow="1" w:lastColumn="0" w:lastRow="0" w:noHBand="0" w:noVBand="1" w:val="04A0"/>
      </w:tblPr>
      <w:tblGrid>
        <w:gridCol w:w="3907"/>
        <w:gridCol w:w="3907"/>
        <w:gridCol w:w="3907"/>
        <w:gridCol w:w="3907"/>
      </w:tblGrid>
      <w:tr>
        <w:trPr>
          <w:tblHeader w:val="true"/>
          <w:cantSplit/>
        </w:trPr>
        <w:tc>
          <w:tcPr>
            <w:tcW w:type="dxa" w:w="432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3"/>
                <w:rtl w:val="1"/>
              </w:rPr>
              <w:t>ID</w:t>
            </w:r>
          </w:p>
        </w:tc>
        <w:tc>
          <w:tcPr>
            <w:tcW w:type="dxa" w:w="2808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3"/>
                <w:rtl w:val="1"/>
              </w:rPr>
              <w:t>السؤال</w:t>
            </w:r>
          </w:p>
        </w:tc>
        <w:tc>
          <w:tcPr>
            <w:tcW w:type="dxa" w:w="1152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3"/>
                <w:rtl w:val="1"/>
              </w:rPr>
              <w:t>الرد</w:t>
            </w:r>
          </w:p>
        </w:tc>
        <w:tc>
          <w:tcPr>
            <w:tcW w:type="dxa" w:w="2304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3"/>
                <w:rtl w:val="1"/>
              </w:rPr>
              <w:t>الأدلة / القيود</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COM01</w:t>
            </w:r>
          </w:p>
        </w:tc>
        <w:tc>
          <w:tcPr>
            <w:tcW w:type="dxa" w:w="2808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السلع أو المواد الطبيعية والحجم السنوي المقدم للمشتري.</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[مكتمل]</w:t>
            </w:r>
          </w:p>
        </w:tc>
        <w:tc>
          <w:tcPr>
            <w:tcW w:type="dxa" w:w="2304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[مكتمل]</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COM02</w:t>
            </w:r>
          </w:p>
        </w:tc>
        <w:tc>
          <w:tcPr>
            <w:tcW w:type="dxa" w:w="2808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مستوى الأصل: بلد، منطقة، حوض، نقطة المشتريات، مزرعة، منجم، غابة، صيد الأسماك، المنشأة أو قطعة.</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[مكتمل]</w:t>
            </w:r>
          </w:p>
        </w:tc>
        <w:tc>
          <w:tcPr>
            <w:tcW w:type="dxa" w:w="2304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[مكتمل]</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COM03</w:t>
            </w:r>
          </w:p>
        </w:tc>
        <w:tc>
          <w:tcPr>
            <w:tcW w:type="dxa" w:w="2808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نسبة من حجم الموردات التي تغطي كل مستوى من حيث المنشأ ونموذج سلسلة الاحتفاظ بها.</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[مكتمل]</w:t>
            </w:r>
          </w:p>
        </w:tc>
        <w:tc>
          <w:tcPr>
            <w:tcW w:type="dxa" w:w="2304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[مكتمل]</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COM04</w:t>
            </w:r>
          </w:p>
        </w:tc>
        <w:tc>
          <w:tcPr>
            <w:tcW w:type="dxa" w:w="2808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تاريخ وتثبتات معروفة لوقف التحول أو إزالة الغابات أو استخراجها أو حصادها أو تغيير استخدام الأراضي.</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[مكتمل]</w:t>
            </w:r>
          </w:p>
        </w:tc>
        <w:tc>
          <w:tcPr>
            <w:tcW w:type="dxa" w:w="2304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[مكتمل]</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COM05</w:t>
            </w:r>
          </w:p>
        </w:tc>
        <w:tc>
          <w:tcPr>
            <w:tcW w:type="dxa" w:w="2808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نظام الشهادة أو التأمين، نطاق العمل، صاحب الشهادة، المواقع، الصلاحية، وضع التحقيق واستبعاد.</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[مكتمل]</w:t>
            </w:r>
          </w:p>
        </w:tc>
        <w:tc>
          <w:tcPr>
            <w:tcW w:type="dxa" w:w="2304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[مكتمل]</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COM06</w:t>
            </w:r>
          </w:p>
        </w:tc>
        <w:tc>
          <w:tcPr>
            <w:tcW w:type="dxa" w:w="2808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خطة تحسين التتبع المحدد للوقت، حصة غير معروفة أو من أصل مختلط.</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[مكتمل]</w:t>
            </w:r>
          </w:p>
        </w:tc>
        <w:tc>
          <w:tcPr>
            <w:tcW w:type="dxa" w:w="2304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[مكتمل]</w:t>
            </w:r>
          </w:p>
        </w:tc>
      </w:tr>
    </w:tbl>
    <w:p>
      <w:pPr>
        <w:spacing w:after="0"/>
      </w:pPr>
    </w:p>
    <w:p>
      <w:pPr>
        <w:pStyle w:val="Heading2"/>
        <w:keepNext/>
        <w:bidi w:val="1"/>
      </w:pPr>
      <w:r>
        <w:rPr>
          <w:rtl w:val="1"/>
        </w:rPr>
        <w:t>6. وحدات المياه المحسنة</w:t>
      </w:r>
    </w:p>
    <w:tbl>
      <w:tblPr>
        <w:tblStyle w:val="TableGrid"/>
        <w:tblW w:type="auto" w:w="0"/>
        <w:jc w:val="left"/>
        <w:tblLayout w:type="fixed"/>
        <w:tblLook w:firstColumn="1" w:firstRow="1" w:lastColumn="0" w:lastRow="0" w:noHBand="0" w:noVBand="1" w:val="04A0"/>
      </w:tblPr>
      <w:tblGrid>
        <w:gridCol w:w="3907"/>
        <w:gridCol w:w="3907"/>
        <w:gridCol w:w="3907"/>
        <w:gridCol w:w="3907"/>
      </w:tblGrid>
      <w:tr>
        <w:trPr>
          <w:tblHeader w:val="true"/>
          <w:cantSplit/>
        </w:trPr>
        <w:tc>
          <w:tcPr>
            <w:tcW w:type="dxa" w:w="432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3"/>
                <w:rtl w:val="1"/>
              </w:rPr>
              <w:t>ID</w:t>
            </w:r>
          </w:p>
        </w:tc>
        <w:tc>
          <w:tcPr>
            <w:tcW w:type="dxa" w:w="2700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3"/>
                <w:rtl w:val="1"/>
              </w:rPr>
              <w:t>السؤال</w:t>
            </w:r>
          </w:p>
        </w:tc>
        <w:tc>
          <w:tcPr>
            <w:tcW w:type="dxa" w:w="1260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3"/>
                <w:rtl w:val="1"/>
              </w:rPr>
              <w:t>الوحدة / الاستجابة</w:t>
            </w:r>
          </w:p>
        </w:tc>
        <w:tc>
          <w:tcPr>
            <w:tcW w:type="dxa" w:w="2304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3"/>
                <w:rtl w:val="1"/>
              </w:rPr>
              <w:t>الأدلة / القيود</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W01</w:t>
            </w:r>
          </w:p>
        </w:tc>
        <w:tc>
          <w:tcPr>
            <w:tcW w:type="dxa" w:w="270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مصدر المياه أو حوضها أو حوض السحب والقيود الموسمية.</w:t>
            </w:r>
          </w:p>
        </w:tc>
        <w:tc>
          <w:tcPr>
            <w:tcW w:type="dxa" w:w="126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[مصدر / حوض]</w:t>
            </w:r>
          </w:p>
        </w:tc>
        <w:tc>
          <w:tcPr>
            <w:tcW w:type="dxa" w:w="2304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[خريطة / تصريح / شاشة]</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W02</w:t>
            </w:r>
          </w:p>
        </w:tc>
        <w:tc>
          <w:tcPr>
            <w:tcW w:type="dxa" w:w="270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السحب والاستهلاك للمنشأة أو المنتج المعني.</w:t>
            </w:r>
          </w:p>
        </w:tc>
        <w:tc>
          <w:tcPr>
            <w:tcW w:type="dxa" w:w="126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[م3 ومرحلة]</w:t>
            </w:r>
          </w:p>
        </w:tc>
        <w:tc>
          <w:tcPr>
            <w:tcW w:type="dxa" w:w="2304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[متار / طريقة التقدير]</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W03</w:t>
            </w:r>
          </w:p>
        </w:tc>
        <w:tc>
          <w:tcPr>
            <w:tcW w:type="dxa" w:w="270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حجم الإفراز، وجهة المقصود، معايير الجودة والمتجاوزات.</w:t>
            </w:r>
          </w:p>
        </w:tc>
        <w:tc>
          <w:tcPr>
            <w:tcW w:type="dxa" w:w="126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[م3 / مبرمج]</w:t>
            </w:r>
          </w:p>
        </w:tc>
        <w:tc>
          <w:tcPr>
            <w:tcW w:type="dxa" w:w="2304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[إذن / مختبر / حادثة]</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W04</w:t>
            </w:r>
          </w:p>
        </w:tc>
        <w:tc>
          <w:tcPr>
            <w:tcW w:type="dxa" w:w="270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الاعتماد المادي على نوعية المياه أو تنظيم الفيضانات أو حالة النظم البيئية.</w:t>
            </w:r>
          </w:p>
        </w:tc>
        <w:tc>
          <w:tcPr>
            <w:tcW w:type="dxa" w:w="126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[اشرح]</w:t>
            </w:r>
          </w:p>
        </w:tc>
        <w:tc>
          <w:tcPr>
            <w:tcW w:type="dxa" w:w="2304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[قياس المخاطر / العدالة التشغيلية]</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W05</w:t>
            </w:r>
          </w:p>
        </w:tc>
        <w:tc>
          <w:tcPr>
            <w:tcW w:type="dxa" w:w="270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المستخدمين أو المجتمعات أو النظم البيئية المتضررة وعملية التعامل مع المشاركين أو الشكاوى.</w:t>
            </w:r>
          </w:p>
        </w:tc>
        <w:tc>
          <w:tcPr>
            <w:tcW w:type="dxa" w:w="126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[تفسير / مقيد]</w:t>
            </w:r>
          </w:p>
        </w:tc>
        <w:tc>
          <w:tcPr>
            <w:tcW w:type="dxa" w:w="2304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[سجل الالتزام / شكوى]</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W06</w:t>
            </w:r>
          </w:p>
        </w:tc>
        <w:tc>
          <w:tcPr>
            <w:tcW w:type="dxa" w:w="270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هدف المياه، خط أساسي، الإجراءات، التقدم والدليل على النتائج.</w:t>
            </w:r>
          </w:p>
        </w:tc>
        <w:tc>
          <w:tcPr>
            <w:tcW w:type="dxa" w:w="126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[مكتمل]</w:t>
            </w:r>
          </w:p>
        </w:tc>
        <w:tc>
          <w:tcPr>
            <w:tcW w:type="dxa" w:w="2304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[ملف الهدف / مراقبة]</w:t>
            </w:r>
          </w:p>
        </w:tc>
      </w:tr>
    </w:tbl>
    <w:p>
      <w:pPr>
        <w:spacing w:after="0"/>
      </w:pPr>
    </w:p>
    <w:p>
      <w:pPr>
        <w:pStyle w:val="Heading2"/>
        <w:keepNext/>
        <w:bidi w:val="1"/>
      </w:pPr>
      <w:r>
        <w:rPr>
          <w:rtl w:val="1"/>
        </w:rPr>
        <w:t>7- تحسين أرض وتنوع الأحياء وحدة المجتمع</w:t>
      </w:r>
    </w:p>
    <w:tbl>
      <w:tblPr>
        <w:tblStyle w:val="TableGrid"/>
        <w:tblW w:type="auto" w:w="0"/>
        <w:jc w:val="left"/>
        <w:tblLayout w:type="fixed"/>
        <w:tblLook w:firstColumn="1" w:firstRow="1" w:lastColumn="0" w:lastRow="0" w:noHBand="0" w:noVBand="1" w:val="04A0"/>
      </w:tblPr>
      <w:tblGrid>
        <w:gridCol w:w="3907"/>
        <w:gridCol w:w="3907"/>
        <w:gridCol w:w="3907"/>
        <w:gridCol w:w="3907"/>
      </w:tblGrid>
      <w:tr>
        <w:trPr>
          <w:tblHeader w:val="true"/>
          <w:cantSplit/>
        </w:trPr>
        <w:tc>
          <w:tcPr>
            <w:tcW w:type="dxa" w:w="432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3"/>
                <w:rtl w:val="1"/>
              </w:rPr>
              <w:t>ID</w:t>
            </w:r>
          </w:p>
        </w:tc>
        <w:tc>
          <w:tcPr>
            <w:tcW w:type="dxa" w:w="2664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3"/>
                <w:rtl w:val="1"/>
              </w:rPr>
              <w:t>السؤال</w:t>
            </w:r>
          </w:p>
        </w:tc>
        <w:tc>
          <w:tcPr>
            <w:tcW w:type="dxa" w:w="1152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3"/>
                <w:rtl w:val="1"/>
              </w:rPr>
              <w:t>الرد</w:t>
            </w:r>
          </w:p>
        </w:tc>
        <w:tc>
          <w:tcPr>
            <w:tcW w:type="dxa" w:w="2448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3"/>
                <w:rtl w:val="1"/>
              </w:rPr>
              <w:t>الأدلة / القيود</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BIO01</w:t>
            </w:r>
          </w:p>
        </w:tc>
        <w:tc>
          <w:tcPr>
            <w:tcW w:type="dxa" w:w="2664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إحداثيات الموقع أو المتعدد وكل المنطقة التي يتم التحكم فيها والمتأثرة وإعادة تأهيلها.</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[مكتمل]</w:t>
            </w:r>
          </w:p>
        </w:tc>
        <w:tc>
          <w:tcPr>
            <w:tcW w:type="dxa" w:w="2448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[مخطط الموقع/المعلومات الجغرافية]</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BIO02</w:t>
            </w:r>
          </w:p>
        </w:tc>
        <w:tc>
          <w:tcPr>
            <w:tcW w:type="dxa" w:w="2664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الاستخدام السابق والحالي للأراضي ونوع النظام الإيكولوجي والتغيرات المادية في الفترة التقارير.</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[مكتمل]</w:t>
            </w:r>
          </w:p>
        </w:tc>
        <w:tc>
          <w:tcPr>
            <w:tcW w:type="dxa" w:w="2448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[خط الأساس / الاستشعار عن بعد / المسح]</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BIO03</w:t>
            </w:r>
          </w:p>
        </w:tc>
        <w:tc>
          <w:tcPr>
            <w:tcW w:type="dxa" w:w="2664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القرب أو التواصل مع المناطق المحمية، النظم الإيكولوجية ذات الكمال العالي أو المتدهور بسرعة، المناطق المهمة للتنوع البيولوجي أو الضغط المائي.</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[مكتمل]</w:t>
            </w:r>
          </w:p>
        </w:tc>
        <w:tc>
          <w:tcPr>
            <w:tcW w:type="dxa" w:w="2448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[مجموعة البيانات، النسخة، العازلة والقياس]</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BIO04</w:t>
            </w:r>
          </w:p>
        </w:tc>
        <w:tc>
          <w:tcPr>
            <w:tcW w:type="dxa" w:w="2664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مواد محركات مباشرة: استخدام الأرض أو البحر، استيراد الموارد، التلوث، المناخ أو الأنواع الغازية.</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[مكتمل]</w:t>
            </w:r>
          </w:p>
        </w:tc>
        <w:tc>
          <w:tcPr>
            <w:tcW w:type="dxa" w:w="2448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[بيانات تشغيلية وبيئية]</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BIO05</w:t>
            </w:r>
          </w:p>
        </w:tc>
        <w:tc>
          <w:tcPr>
            <w:tcW w:type="dxa" w:w="2664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الاعتمادات المادية على النظام البيئي وخدمة الأجسام والأدلة على تغيير الوصول أو الجودة.</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[مكتمل]</w:t>
            </w:r>
          </w:p>
        </w:tc>
        <w:tc>
          <w:tcPr>
            <w:tcW w:type="dxa" w:w="2448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[قيام تقييم الإعتماد / مراقبة]</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BIO06</w:t>
            </w:r>
          </w:p>
        </w:tc>
        <w:tc>
          <w:tcPr>
            <w:tcW w:type="dxa" w:w="2664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المجتمعات المتضررة، الشعوب الأصلية أو المجتمعات المحلية، الحقوق المعمول بها وعملية المشاركة.</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[مكتمل / مقيد]</w:t>
            </w:r>
          </w:p>
        </w:tc>
        <w:tc>
          <w:tcPr>
            <w:tcW w:type="dxa" w:w="2448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[قيام تقييم الحقوق / المشاركة / FPIC إذا كان ذلك مُطبقًا]</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BIO07</w:t>
            </w:r>
          </w:p>
        </w:tc>
        <w:tc>
          <w:tcPr>
            <w:tcW w:type="dxa" w:w="2664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التجنب، التقليل من الاضطرابات، الاستعادة، إعادة التأهيل أو الاستجابة الأخرى والآثار المتبقية.</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[مكتمل]</w:t>
            </w:r>
          </w:p>
        </w:tc>
        <w:tc>
          <w:tcPr>
            <w:tcW w:type="dxa" w:w="2448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[الخطة، الميزانية، المراقبة، الموافقة]</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BIO08</w:t>
            </w:r>
          </w:p>
        </w:tc>
        <w:tc>
          <w:tcPr>
            <w:tcW w:type="dxa" w:w="2664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المقياسات الأساسية والهدف والحالة أو النتيجة والطريقة والتقدم والقيود.</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[مكتمل]</w:t>
            </w:r>
          </w:p>
        </w:tc>
        <w:tc>
          <w:tcPr>
            <w:tcW w:type="dxa" w:w="2448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3"/>
                <w:rtl w:val="1"/>
              </w:rPr>
              <w:t>[منهجية / تقرير متخصص]</w:t>
            </w:r>
          </w:p>
        </w:tc>
      </w:tr>
    </w:tbl>
    <w:p>
      <w:pPr>
        <w:spacing w:after="0"/>
      </w:pPr>
    </w:p>
    <w:p>
      <w:pPr>
        <w:pStyle w:val="Heading2"/>
        <w:keepNext/>
        <w:bidi w:val="1"/>
      </w:pPr>
      <w:r>
        <w:rPr>
          <w:rtl w:val="1"/>
        </w:rPr>
        <w:t>8. ماتريكس تقييم الأدلة</w:t>
      </w:r>
    </w:p>
    <w:tbl>
      <w:tblPr>
        <w:tblStyle w:val="TableGrid"/>
        <w:tblW w:type="auto" w:w="0"/>
        <w:jc w:val="left"/>
        <w:tblLayout w:type="fixed"/>
        <w:tblLook w:firstColumn="1" w:firstRow="1" w:lastColumn="0" w:lastRow="0" w:noHBand="0" w:noVBand="1" w:val="04A0"/>
      </w:tblPr>
      <w:tblGrid>
        <w:gridCol w:w="1953"/>
        <w:gridCol w:w="1953"/>
        <w:gridCol w:w="1953"/>
        <w:gridCol w:w="1953"/>
        <w:gridCol w:w="1953"/>
        <w:gridCol w:w="1953"/>
        <w:gridCol w:w="1953"/>
        <w:gridCol w:w="1953"/>
      </w:tblGrid>
      <w:tr>
        <w:trPr>
          <w:tblHeader w:val="true"/>
          <w:cantSplit/>
        </w:trPr>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الحقل / الإدعاء</w:t>
            </w:r>
          </w:p>
        </w:tc>
        <w:tc>
          <w:tcPr>
            <w:tcW w:type="dxa" w:w="540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هوية الأدلة</w:t>
            </w:r>
          </w:p>
        </w:tc>
        <w:tc>
          <w:tcPr>
            <w:tcW w:type="dxa" w:w="468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المستوى 1-4</w:t>
            </w:r>
          </w:p>
        </w:tc>
        <w:tc>
          <w:tcPr>
            <w:tcW w:type="dxa" w:w="540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الفترة</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النطاق والموقع</w:t>
            </w:r>
          </w:p>
        </w:tc>
        <w:tc>
          <w:tcPr>
            <w:tcW w:type="dxa" w:w="1152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طريقة / ضمان</w:t>
            </w:r>
          </w:p>
        </w:tc>
        <w:tc>
          <w:tcPr>
            <w:tcW w:type="dxa" w:w="1260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نتيجة المراجعة</w:t>
            </w:r>
          </w:p>
        </w:tc>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الإجراءات</w:t>
            </w:r>
          </w:p>
        </w:tc>
      </w:tr>
      <w:tr>
        <w:trPr>
          <w:cantSplit/>
        </w:trPr>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54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[ID]</w:t>
            </w:r>
          </w:p>
        </w:tc>
        <w:tc>
          <w:tcPr>
            <w:tcW w:type="dxa" w:w="468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[1-4]</w:t>
            </w:r>
          </w:p>
        </w:tc>
        <w:tc>
          <w:tcPr>
            <w:tcW w:type="dxa" w:w="54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[الفترة]</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126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[قبل / تأهل / رفض]</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[الإجراء]</w:t>
            </w:r>
          </w:p>
        </w:tc>
      </w:tr>
      <w:tr>
        <w:trPr>
          <w:cantSplit/>
        </w:trPr>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54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[ID]</w:t>
            </w:r>
          </w:p>
        </w:tc>
        <w:tc>
          <w:tcPr>
            <w:tcW w:type="dxa" w:w="468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[1-4]</w:t>
            </w:r>
          </w:p>
        </w:tc>
        <w:tc>
          <w:tcPr>
            <w:tcW w:type="dxa" w:w="54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[الفترة]</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126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[قبل / تأهل / رفض]</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[الإجراء]</w:t>
            </w:r>
          </w:p>
        </w:tc>
      </w:tr>
      <w:tr>
        <w:trPr>
          <w:cantSplit/>
        </w:trPr>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54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[ID]</w:t>
            </w:r>
          </w:p>
        </w:tc>
        <w:tc>
          <w:tcPr>
            <w:tcW w:type="dxa" w:w="468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[1-4]</w:t>
            </w:r>
          </w:p>
        </w:tc>
        <w:tc>
          <w:tcPr>
            <w:tcW w:type="dxa" w:w="54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[الفترة]</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126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[قبل / تأهل / رفض]</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[الإجراء]</w:t>
            </w:r>
          </w:p>
        </w:tc>
      </w:tr>
    </w:tbl>
    <w:p>
      <w:pPr>
        <w:spacing w:after="0"/>
      </w:pPr>
    </w:p>
    <w:tbl>
      <w:tblPr>
        <w:tblW w:type="auto" w:w="0"/>
        <w:jc w:val="left"/>
        <w:tblLook w:firstColumn="1" w:firstRow="1" w:lastColumn="0" w:lastRow="0" w:noHBand="0" w:noVBand="1" w:val="04A0"/>
      </w:tblPr>
      <w:tblGrid>
        <w:gridCol w:w="15628"/>
      </w:tblGrid>
      <w:tr>
        <w:tc>
          <w:tcPr>
            <w:tcW w:type="dxa" w:w="15628"/>
            <w:shd w:fill="EAF3F8"/>
            <w:tcBorders>
              <w:top w:val="single" w:sz="6" w:color="2673A9"/>
              <w:left w:val="single" w:sz="12" w:color="2673A9"/>
              <w:bottom w:val="single" w:sz="6" w:color="2673A9"/>
              <w:right w:val="single" w:sz="6" w:color="2673A9"/>
            </w:tcBorders>
          </w:tcPr>
          <w:p>
            <w:pPr>
              <w:spacing w:after="40"/>
              <w:bidi w:val="1"/>
            </w:pPr>
            <w:r>
              <w:rPr>
                <w:rFonts w:ascii="Arial" w:hAnsi="Arial"/>
                <w:b/>
                <w:color w:val="2673A9"/>
                <w:sz w:val="18"/>
                <w:rtl w:val="1"/>
              </w:rPr>
              <w:t>مستوى تفسير الدليل 1: الإعلان الذاتي. 2: وثيقة أو سجل مسجل 3: دليل جغرافي، أو ثالث أو سلطة. 4: التحقق من الموقع، السلع أو النتائج. مراجعة الصلة والطابع والفترة والطريقة قبل قبول أي مستوى.</w:t>
              <w:br/>
            </w:r>
            <w:r>
              <w:rPr>
                <w:rFonts w:ascii="Arial" w:hAnsi="Arial"/>
                <w:color w:val="253446"/>
                <w:sz w:val="17"/>
                <w:rtl w:val="1"/>
              </w:rPr>
              <w:t/>
            </w:r>
          </w:p>
        </w:tc>
      </w:tr>
    </w:tbl>
    <w:p>
      <w:pPr>
        <w:spacing w:after="0"/>
      </w:pPr>
    </w:p>
    <w:p>
      <w:pPr>
        <w:pStyle w:val="Heading2"/>
        <w:keepNext/>
        <w:bidi w:val="1"/>
      </w:pPr>
      <w:r>
        <w:rPr>
          <w:rtl w:val="1"/>
        </w:rPr>
        <w:t>9السرية وسجل الوصول</w:t>
      </w:r>
    </w:p>
    <w:tbl>
      <w:tblPr>
        <w:tblStyle w:val="TableGrid"/>
        <w:tblW w:type="auto" w:w="0"/>
        <w:jc w:val="left"/>
        <w:tblLayout w:type="fixed"/>
        <w:tblLook w:firstColumn="1" w:firstRow="1" w:lastColumn="0" w:lastRow="0" w:noHBand="0" w:noVBand="1" w:val="04A0"/>
      </w:tblPr>
      <w:tblGrid>
        <w:gridCol w:w="2233"/>
        <w:gridCol w:w="2233"/>
        <w:gridCol w:w="2233"/>
        <w:gridCol w:w="2233"/>
        <w:gridCol w:w="2233"/>
        <w:gridCol w:w="2233"/>
        <w:gridCol w:w="2233"/>
      </w:tblGrid>
      <w:tr>
        <w:trPr>
          <w:tblHeader w:val="true"/>
          <w:cantSplit/>
        </w:trPr>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حقل البيانات</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التصنيف</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السبب</w:t>
            </w:r>
          </w:p>
        </w:tc>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المستخدمين المسموح لهم</w:t>
            </w:r>
          </w:p>
        </w:tc>
        <w:tc>
          <w:tcPr>
            <w:tcW w:type="dxa" w:w="1007999"/>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التخزين / النقل</w:t>
            </w:r>
          </w:p>
        </w:tc>
        <w:tc>
          <w:tcPr>
            <w:tcW w:type="dxa" w:w="648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الاحتفاظ</w:t>
            </w:r>
          </w:p>
        </w:tc>
        <w:tc>
          <w:tcPr>
            <w:tcW w:type="dxa" w:w="1188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المعاملة العامة</w:t>
            </w:r>
          </w:p>
        </w:tc>
      </w:tr>
      <w:tr>
        <w:trPr>
          <w:cantSplit/>
        </w:trPr>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[المفتوح / المشتري المقيد / الطرف الثالث / المخفي / غير متوفر]</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[الأدوار]</w:t>
            </w:r>
          </w:p>
        </w:tc>
        <w:tc>
          <w:tcPr>
            <w:tcW w:type="dxa" w:w="1007999"/>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[الجهاز / غرفة البيانات]</w:t>
            </w:r>
          </w:p>
        </w:tc>
        <w:tc>
          <w:tcPr>
            <w:tcW w:type="dxa" w:w="648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[الفترة]</w:t>
            </w:r>
          </w:p>
        </w:tc>
        <w:tc>
          <w:tcPr>
            <w:tcW w:type="dxa" w:w="1188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[مجموع / طريقة فقط / لا توفير إفصاحات]</w:t>
            </w:r>
          </w:p>
        </w:tc>
      </w:tr>
      <w:tr>
        <w:trPr>
          <w:cantSplit/>
        </w:trPr>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1007999"/>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648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1188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r>
    </w:tbl>
    <w:p>
      <w:pPr>
        <w:spacing w:after="0"/>
      </w:pPr>
    </w:p>
    <w:p>
      <w:pPr>
        <w:pStyle w:val="Heading2"/>
        <w:keepNext/>
        <w:bidi w:val="1"/>
      </w:pPr>
      <w:r>
        <w:rPr>
          <w:rtl w:val="1"/>
        </w:rPr>
        <w:t>10خطة تحسين الموردين</w:t>
      </w:r>
    </w:p>
    <w:tbl>
      <w:tblPr>
        <w:tblStyle w:val="TableGrid"/>
        <w:tblW w:type="auto" w:w="0"/>
        <w:jc w:val="left"/>
        <w:tblLayout w:type="fixed"/>
        <w:tblLook w:firstColumn="1" w:firstRow="1" w:lastColumn="0" w:lastRow="0" w:noHBand="0" w:noVBand="1" w:val="04A0"/>
      </w:tblPr>
      <w:tblGrid>
        <w:gridCol w:w="1953"/>
        <w:gridCol w:w="1953"/>
        <w:gridCol w:w="1953"/>
        <w:gridCol w:w="1953"/>
        <w:gridCol w:w="1953"/>
        <w:gridCol w:w="1953"/>
        <w:gridCol w:w="1953"/>
        <w:gridCol w:w="1953"/>
      </w:tblGrid>
      <w:tr>
        <w:trPr>
          <w:tblHeader w:val="true"/>
          <w:cantSplit/>
        </w:trPr>
        <w:tc>
          <w:tcPr>
            <w:tcW w:type="dxa" w:w="432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هوية الفجوة</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موضوع المادة / الحقل</w:t>
            </w:r>
          </w:p>
        </w:tc>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الحالة الحالية</w:t>
            </w:r>
          </w:p>
        </w:tc>
        <w:tc>
          <w:tcPr>
            <w:tcW w:type="dxa" w:w="864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الوكيل المؤقت</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إجراءات الموردين</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دعم المشترين</w:t>
            </w:r>
          </w:p>
        </w:tc>
        <w:tc>
          <w:tcPr>
            <w:tcW w:type="dxa" w:w="648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تاريخ الموعد</w:t>
            </w:r>
          </w:p>
        </w:tc>
        <w:tc>
          <w:tcPr>
            <w:tcW w:type="dxa" w:w="1152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2"/>
                <w:rtl w:val="1"/>
              </w:rPr>
              <w:t>التصعيد / القرار</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[ID]</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[غير معروف / تقدير / غير كامل]</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648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[التاريخ]</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[ID]</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648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[التاريخ]</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[ID]</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c>
          <w:tcPr>
            <w:tcW w:type="dxa" w:w="648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[التاريخ]</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2"/>
                <w:rtl w:val="1"/>
              </w:rPr>
              <w:t>[مكتمل]</w:t>
            </w:r>
          </w:p>
        </w:tc>
      </w:tr>
    </w:tbl>
    <w:p>
      <w:pPr>
        <w:spacing w:after="0"/>
      </w:pPr>
    </w:p>
    <w:p>
      <w:pPr>
        <w:pStyle w:val="Heading2"/>
        <w:keepNext/>
        <w:bidi w:val="1"/>
      </w:pPr>
      <w:r>
        <w:rPr>
          <w:rtl w:val="1"/>
        </w:rPr>
        <w:t>11مراجعة المشترين وقائمة</w:t>
      </w:r>
    </w:p>
    <w:tbl>
      <w:tblPr>
        <w:tblStyle w:val="TableGrid"/>
        <w:tblW w:type="auto" w:w="0"/>
        <w:jc w:val="left"/>
        <w:tblLayout w:type="fixed"/>
        <w:tblLook w:firstColumn="1" w:firstRow="1" w:lastColumn="0" w:lastRow="0" w:noHBand="0" w:noVBand="1" w:val="04A0"/>
      </w:tblPr>
      <w:tblGrid>
        <w:gridCol w:w="3907"/>
        <w:gridCol w:w="3907"/>
        <w:gridCol w:w="3907"/>
        <w:gridCol w:w="3907"/>
      </w:tblGrid>
      <w:tr>
        <w:trPr>
          <w:tblHeader w:val="true"/>
          <w:cantSplit/>
        </w:trPr>
        <w:tc>
          <w:tcPr>
            <w:tcW w:type="dxa" w:w="1800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4"/>
                <w:rtl w:val="1"/>
              </w:rPr>
              <w:t>منطقة المراجعة</w:t>
            </w:r>
          </w:p>
        </w:tc>
        <w:tc>
          <w:tcPr>
            <w:tcW w:type="dxa" w:w="2160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4"/>
                <w:rtl w:val="1"/>
              </w:rPr>
              <w:t>القرار / الأدلة</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4"/>
                <w:rtl w:val="1"/>
              </w:rPr>
              <w:t>المالك</w:t>
            </w:r>
          </w:p>
        </w:tc>
        <w:tc>
          <w:tcPr>
            <w:tcW w:type="dxa" w:w="720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4"/>
                <w:rtl w:val="1"/>
              </w:rPr>
              <w:t>التاريخ</w:t>
            </w:r>
          </w:p>
        </w:tc>
      </w:tr>
      <w:tr>
        <w:trPr>
          <w:cantSplit/>
        </w:trPr>
        <w:tc>
          <w:tcPr>
            <w:tcW w:type="dxa" w:w="180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التفتيش واختيار الوحدات</w:t>
            </w:r>
          </w:p>
        </w:tc>
        <w:tc>
          <w:tcPr>
            <w:tcW w:type="dxa" w:w="216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[الموافقة / مراجعة]</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[اسم / دور]</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[التاريخ]</w:t>
            </w:r>
          </w:p>
        </w:tc>
      </w:tr>
      <w:tr>
        <w:trPr>
          <w:cantSplit/>
        </w:trPr>
        <w:tc>
          <w:tcPr>
            <w:tcW w:type="dxa" w:w="180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الموافقة التقنية وجودة البيانات</w:t>
            </w:r>
          </w:p>
        </w:tc>
        <w:tc>
          <w:tcPr>
            <w:tcW w:type="dxa" w:w="216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[الموافقة / المؤهلين / رفض]</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[اسم / دور]</w:t>
            </w:r>
          </w:p>
        </w:tc>
        <w:tc>
          <w:tcPr>
            <w:tcW w:type="dxa" w:w="72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[التاريخ]</w:t>
            </w:r>
          </w:p>
        </w:tc>
      </w:tr>
      <w:tr>
        <w:trPr>
          <w:cantSplit/>
        </w:trPr>
        <w:tc>
          <w:tcPr>
            <w:tcW w:type="dxa" w:w="180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مراجعة القانونية والسرية وحقوق الإنسان</w:t>
            </w:r>
          </w:p>
        </w:tc>
        <w:tc>
          <w:tcPr>
            <w:tcW w:type="dxa" w:w="216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[الموافقة / الشروط]</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[اسم / دور]</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[التاريخ]</w:t>
            </w:r>
          </w:p>
        </w:tc>
      </w:tr>
      <w:tr>
        <w:trPr>
          <w:cantSplit/>
        </w:trPr>
        <w:tc>
          <w:tcPr>
            <w:tcW w:type="dxa" w:w="180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قرار المشتريات وخطة التحسين</w:t>
            </w:r>
          </w:p>
        </w:tc>
        <w:tc>
          <w:tcPr>
            <w:tcW w:type="dxa" w:w="216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[استمر / تشغيل / حالة / تعليق / تعاون]</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[اسم / دور]</w:t>
            </w:r>
          </w:p>
        </w:tc>
        <w:tc>
          <w:tcPr>
            <w:tcW w:type="dxa" w:w="720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[التاريخ]</w:t>
            </w:r>
          </w:p>
        </w:tc>
      </w:tr>
      <w:tr>
        <w:trPr>
          <w:cantSplit/>
        </w:trPr>
        <w:tc>
          <w:tcPr>
            <w:tcW w:type="dxa" w:w="180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استخدام الإبلاغات والادعاءات</w:t>
            </w:r>
          </w:p>
        </w:tc>
        <w:tc>
          <w:tcPr>
            <w:tcW w:type="dxa" w:w="216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[صيغة مسموح بها / قيود / عدم استخدامها للجمهور]</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[اسم / دور]</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[التاريخ]</w:t>
            </w:r>
          </w:p>
        </w:tc>
      </w:tr>
    </w:tbl>
    <w:p>
      <w:pPr>
        <w:spacing w:after="0"/>
      </w:pPr>
    </w:p>
    <w:p>
      <w:pPr>
        <w:pStyle w:val="Heading2"/>
        <w:keepNext/>
        <w:bidi w:val="1"/>
      </w:pPr>
      <w:r>
        <w:rPr>
          <w:rtl w:val="1"/>
        </w:rPr>
        <w:t>12ملاحظات رسم الخرائط الإطارية</w:t>
      </w:r>
    </w:p>
    <w:tbl>
      <w:tblPr>
        <w:tblStyle w:val="TableGrid"/>
        <w:tblW w:type="auto" w:w="0"/>
        <w:jc w:val="left"/>
        <w:tblLayout w:type="fixed"/>
        <w:tblLook w:firstColumn="1" w:firstRow="1" w:lastColumn="0" w:lastRow="0" w:noHBand="0" w:noVBand="1" w:val="04A0"/>
      </w:tblPr>
      <w:tblGrid>
        <w:gridCol w:w="3907"/>
        <w:gridCol w:w="3907"/>
        <w:gridCol w:w="3907"/>
        <w:gridCol w:w="3907"/>
      </w:tblGrid>
      <w:tr>
        <w:trPr>
          <w:tblHeader w:val="true"/>
          <w:cantSplit/>
        </w:trPr>
        <w:tc>
          <w:tcPr>
            <w:tcW w:type="dxa" w:w="1188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4"/>
                <w:rtl w:val="1"/>
              </w:rPr>
              <w:t>عائلة البيانات</w:t>
            </w:r>
          </w:p>
        </w:tc>
        <w:tc>
          <w:tcPr>
            <w:tcW w:type="dxa" w:w="1548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4"/>
                <w:rtl w:val="1"/>
              </w:rPr>
              <w:t>TNFD</w:t>
            </w:r>
          </w:p>
        </w:tc>
        <w:tc>
          <w:tcPr>
            <w:tcW w:type="dxa" w:w="1548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4"/>
                <w:rtl w:val="1"/>
              </w:rPr>
              <w:t>GRI 101</w:t>
            </w:r>
          </w:p>
        </w:tc>
        <w:tc>
          <w:tcPr>
            <w:tcW w:type="dxa" w:w="1548000"/>
            <w:vAlign w:val="center"/>
            <w:shd w:fill="173F73"/>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b/>
                <w:color w:val="FFFFFF"/>
                <w:sz w:val="14"/>
                <w:rtl w:val="1"/>
              </w:rPr>
              <w:t>ESRS الحذر</w:t>
            </w:r>
          </w:p>
        </w:tc>
      </w:tr>
      <w:tr>
        <w:trPr>
          <w:cantSplit/>
        </w:trPr>
        <w:tc>
          <w:tcPr>
            <w:tcW w:type="dxa" w:w="1188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النشاط والسلع والموقع</w:t>
            </w:r>
          </w:p>
        </w:tc>
        <w:tc>
          <w:tcPr>
            <w:tcW w:type="dxa" w:w="1548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تقييم الموقع، الأولوية والمكانات الحساسة.</w:t>
            </w:r>
          </w:p>
        </w:tc>
        <w:tc>
          <w:tcPr>
            <w:tcW w:type="dxa" w:w="1548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المواقع والمنتجات والخدمات في سلسلة التوريد ذات تأثير كبير.</w:t>
            </w:r>
          </w:p>
        </w:tc>
        <w:tc>
          <w:tcPr>
            <w:tcW w:type="dxa" w:w="1548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خريطة فقط للقانون المطبق ESRS النسخة و الاستنتاجات حول مادة الكيان.</w:t>
            </w:r>
          </w:p>
        </w:tc>
      </w:tr>
      <w:tr>
        <w:trPr>
          <w:cantSplit/>
        </w:trPr>
        <w:tc>
          <w:tcPr>
            <w:tcW w:type="dxa" w:w="1188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الاعتمادات والآثار والحالة</w:t>
            </w:r>
          </w:p>
        </w:tc>
        <w:tc>
          <w:tcPr>
            <w:tcW w:type="dxa" w:w="1548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تقييم و طريق DIRO.</w:t>
            </w:r>
          </w:p>
        </w:tc>
        <w:tc>
          <w:tcPr>
            <w:tcW w:type="dxa" w:w="1548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المحركات المباشرة، التغييرات في التنوع البيولوجي وخدمات النظم الإيكولوجية.</w:t>
            </w:r>
          </w:p>
        </w:tc>
        <w:tc>
          <w:tcPr>
            <w:tcW w:type="dxa" w:w="1548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الأدلة المشتركة لا تثبت نفسها مادة مزدوجة.</w:t>
            </w:r>
          </w:p>
        </w:tc>
      </w:tr>
      <w:tr>
        <w:trPr>
          <w:cantSplit/>
        </w:trPr>
        <w:tc>
          <w:tcPr>
            <w:tcW w:type="dxa" w:w="1188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التحكم والحوادث والمشاركة</w:t>
            </w:r>
          </w:p>
        </w:tc>
        <w:tc>
          <w:tcPr>
            <w:tcW w:type="dxa" w:w="1548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إدارة المخاطر والتأثيرات، الحوكمة C والردود.</w:t>
            </w:r>
          </w:p>
        </w:tc>
        <w:tc>
          <w:tcPr>
            <w:tcW w:type="dxa" w:w="1548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إدارة الآثار والأدلة على أصحاب المصلحة.</w:t>
            </w:r>
          </w:p>
        </w:tc>
        <w:tc>
          <w:tcPr>
            <w:tcW w:type="dxa" w:w="1548000"/>
            <w:vAlign w:val="center"/>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لا تزال متطلبات القانونية والسلسلة القيمة و نقاط البيانات محددة للإطار.</w:t>
            </w:r>
          </w:p>
        </w:tc>
      </w:tr>
      <w:tr>
        <w:trPr>
          <w:cantSplit/>
        </w:trPr>
        <w:tc>
          <w:tcPr>
            <w:tcW w:type="dxa" w:w="1188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المقاييس والهدف والقيود البيانية</w:t>
            </w:r>
          </w:p>
        </w:tc>
        <w:tc>
          <w:tcPr>
            <w:tcW w:type="dxa" w:w="1548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المقاييس والأهداف وتقييدات الإفصاح عن ذلك.</w:t>
            </w:r>
          </w:p>
        </w:tc>
        <w:tc>
          <w:tcPr>
            <w:tcW w:type="dxa" w:w="1548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البيانات والقيود الأساسية أو الثانوية أو النموذجية.</w:t>
            </w:r>
          </w:p>
        </w:tc>
        <w:tc>
          <w:tcPr>
            <w:tcW w:type="dxa" w:w="1548000"/>
            <w:vAlign w:val="center"/>
            <w:shd w:fill="F4F6F8"/>
            <w:tcBorders>
              <w:top w:val="single" w:sz="3" w:color="AAB7C4"/>
              <w:left w:val="single" w:sz="3" w:color="AAB7C4"/>
              <w:bottom w:val="single" w:sz="3" w:color="AAB7C4"/>
              <w:right w:val="single" w:sz="3" w:color="AAB7C4"/>
            </w:tcBorders>
          </w:tcPr>
          <w:p>
            <w:pPr>
              <w:spacing w:before="0" w:after="0" w:line="240" w:lineRule="auto"/>
              <w:bidi w:val="1"/>
            </w:pPr>
            <w:r>
              <w:rPr>
                <w:rFonts w:ascii="Arial" w:hAnsi="Arial"/>
                <w:sz w:val="14"/>
                <w:rtl w:val="1"/>
              </w:rPr>
              <w:t>التحقق من فترة الإبلاغ والحكام الانتقالية وحالة القوة.</w:t>
            </w:r>
          </w:p>
        </w:tc>
      </w:tr>
    </w:tbl>
    <w:p>
      <w:pPr>
        <w:spacing w:after="0"/>
      </w:pPr>
    </w:p>
    <w:p>
      <w:pPr>
        <w:pStyle w:val="Heading2"/>
        <w:keepNext/>
        <w:bidi w:val="1"/>
      </w:pPr>
      <w:r>
        <w:rPr>
          <w:rtl w:val="1"/>
        </w:rPr>
        <w:t>13حالة الأداة والقيود</w:t>
      </w:r>
    </w:p>
    <w:p>
      <w:pPr>
        <w:bidi w:val="1"/>
      </w:pPr>
      <w:r>
        <w:rPr>
          <w:rtl w:val="1"/>
        </w:rPr>
        <w:t>الإصدار 1.0. روجع في 3 أغسطس 2026. هذا القالب أداة تعليمية وتنفيذية من LRA. وهو ليس استبياناً رسمياً صادراً عن TNFD أو GRI أو ESRS، ولا يثبت امتثال المورد أو المشتري. يجب تكييفه مع القطاع والموقع والحقوق التعاقدية والقانون المعمول به وسياسة المشتريات وحماية البيانات وقانون المنافسة والعناية الواجبة بحقوق الإنسان وفترة إعداد التقارير.</w:t>
      </w:r>
    </w:p>
    <w:sectPr w:rsidR="00FC693F" w:rsidRPr="0006063C" w:rsidSect="00034616">
      <w:headerReference w:type="default" r:id="rId9"/>
      <w:footerReference w:type="default" r:id="rId10"/>
      <w:headerReference w:type="first" r:id="rId22"/>
      <w:footerReference w:type="first" r:id="rId23"/>
      <w:pgSz w:w="16838" w:h="11906" w:orient="landscape"/>
      <w:pgMar w:top="749" w:right="605" w:bottom="749" w:left="605" w:header="198" w:footer="19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bidi w:val="1"/>
    </w:pPr>
    <w:r>
      <w:rPr>
        <w:rFonts w:ascii="Arial" w:hAnsi="Arial"/>
        <w:color w:val="6B7280"/>
        <w:sz w:val="13"/>
        <w:rtl w:val="1"/>
      </w:rPr>
      <w:t xml:space="preserve">TNFD-SUP-TOOL-001  ‬ ‫تم مراجعتها 3 أغسطس 2026  |  </w:t>
    </w:r>
    <w:r>
      <w:rPr>
        <w:rtl w:val="1"/>
      </w:rP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bidi w:val="1"/>
    </w:pPr>
    <w:r>
      <w:rPr>
        <w:rFonts w:ascii="Arial" w:hAnsi="Arial"/>
        <w:b/>
        <w:color w:val="173F73"/>
        <w:sz w:val="13"/>
        <w:rtl w:val="1"/>
      </w:rPr>
      <w:t>LONDON REPORTING ACADEMY  ·  مركز المعرفة  ·  TNFD أداة الموردين</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59" w:lineRule="auto"/>
    </w:pPr>
    <w:rPr>
      <w:rFonts w:ascii="Arial" w:hAnsi="Arial"/>
      <w:color w:val="20293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0D3068"/>
      <w:sz w:val="3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b/>
      <w:bCs/>
      <w:color w:val="14396D"/>
      <w:sz w:val="3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w:hAnsi="Arial"/>
      <w:b/>
      <w:bCs/>
      <w:color w:val="14396D"/>
      <w:sz w:val="25"/>
    </w:rPr>
  </w:style>
  <w:style w:type="paragraph" w:styleId="Heading4">
    <w:name w:val="heading 4"/>
    <w:basedOn w:val="Normal"/>
    <w:next w:val="Normal"/>
    <w:link w:val="Heading4Char"/>
    <w:uiPriority w:val="9"/>
    <w:semiHidden/>
    <w:unhideWhenUsed/>
    <w:qFormat/>
    <w:rsid w:val="00FC693F"/>
    <w:pPr>
      <w:keepNext/>
      <w:keepLines/>
      <w:spacing w:before="200" w:after="80"/>
      <w:outlineLvl w:val="3"/>
    </w:pPr>
    <w:rPr>
      <w:rFonts w:asciiTheme="majorHAnsi" w:eastAsiaTheme="majorEastAsia" w:hAnsiTheme="majorHAnsi" w:cstheme="majorBidi" w:ascii="Arial" w:hAnsi="Arial"/>
      <w:b/>
      <w:bCs/>
      <w:i/>
      <w:iCs/>
      <w:color w:val="2F7DBD"/>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before="0"/>
      <w:contextualSpacing/>
    </w:pPr>
    <w:rPr>
      <w:rFonts w:asciiTheme="majorHAnsi" w:eastAsiaTheme="majorEastAsia" w:hAnsiTheme="majorHAnsi" w:cstheme="majorBidi" w:ascii="Arial" w:hAnsi="Arial"/>
      <w:b/>
      <w:color w:val="14396D"/>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Arial" w:hAnsi="Arial"/>
      <w:b w:val="0"/>
      <w:i/>
      <w:iCs/>
      <w:color w:val="5D6978"/>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rial" w:hAnsi="Arial"/>
      <w:color w:val="202936"/>
      <w:sz w:val="20"/>
    </w:rPr>
  </w:style>
  <w:style w:type="paragraph" w:styleId="ListBullet2">
    <w:name w:val="List Bullet 2"/>
    <w:basedOn w:val="Normal"/>
    <w:uiPriority w:val="99"/>
    <w:unhideWhenUsed/>
    <w:rsid w:val="00326F90"/>
    <w:pPr>
      <w:numPr>
        <w:numId w:val="2"/>
      </w:numPr>
      <w:spacing w:after="60"/>
      <w:contextualSpacing/>
    </w:pPr>
    <w:rPr>
      <w:rFonts w:ascii="Arial" w:hAnsi="Arial"/>
      <w:color w:val="202936"/>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Arial" w:hAnsi="Arial"/>
      <w:color w:val="202936"/>
      <w:sz w:val="20"/>
    </w:rPr>
  </w:style>
  <w:style w:type="paragraph" w:styleId="ListNumber2">
    <w:name w:val="List Number 2"/>
    <w:basedOn w:val="Normal"/>
    <w:uiPriority w:val="99"/>
    <w:unhideWhenUsed/>
    <w:rsid w:val="0029639D"/>
    <w:pPr>
      <w:numPr>
        <w:numId w:val="6"/>
      </w:numPr>
      <w:spacing w:after="60"/>
      <w:contextualSpacing/>
    </w:pPr>
    <w:rPr>
      <w:rFonts w:ascii="Arial" w:hAnsi="Arial"/>
      <w:color w:val="202936"/>
      <w:sz w:val="2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RACaption">
    <w:name w:val="LRA Caption"/>
    <w:pPr>
      <w:keepNext w:val="0"/>
      <w:spacing w:after="140"/>
    </w:pPr>
    <w:rPr>
      <w:rFonts w:ascii="Arial" w:hAnsi="Arial"/>
      <w:i/>
      <w:color w:val="5D6978"/>
      <w:sz w:val="17"/>
    </w:rPr>
  </w:style>
  <w:style w:type="paragraph" w:customStyle="1" w:styleId="LRAAnswer">
    <w:name w:val="LRA Answer"/>
    <w:basedOn w:val="Normal"/>
    <w:pPr>
      <w:spacing w:after="100" w:line="259" w:lineRule="auto"/>
    </w:pPr>
    <w:rPr>
      <w:rFonts w:ascii="Arial" w:hAnsi="Arial"/>
      <w:b w:val="0"/>
      <w:color w:val="202936"/>
      <w:sz w:val="21"/>
    </w:rPr>
  </w:style>
  <w:style w:type="paragraph" w:customStyle="1" w:styleId="LRASmall">
    <w:name w:val="LRA Small"/>
    <w:basedOn w:val="Normal"/>
    <w:pPr>
      <w:spacing w:after="60"/>
    </w:pPr>
    <w:rPr>
      <w:rFonts w:ascii="Arial" w:hAnsi="Arial"/>
      <w:color w:val="5D6978"/>
      <w:sz w:val="17"/>
    </w:rPr>
  </w:style>
  <w:style w:type="paragraph" w:customStyle="1" w:styleId="LRASource">
    <w:name w:val="LRA Source"/>
    <w:basedOn w:val="Normal"/>
    <w:pPr>
      <w:spacing w:after="80"/>
      <w:ind w:left="259" w:hanging="259"/>
    </w:pPr>
    <w:rPr>
      <w:rFonts w:ascii="Arial" w:hAnsi="Arial"/>
      <w:color w:val="202936"/>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22" Type="http://schemas.openxmlformats.org/officeDocument/2006/relationships/header" Target="header2.xml"/><Relationship Id="rId23" Type="http://schemas.openxmlformats.org/officeDocument/2006/relationships/footer" Target="footer2.xml"/><Relationship Id="rId39"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TNFD Supplier Nature Data Questionnaire and Evidence Matrix</dc:title>
  <dc:subject>Editable supplier nature-data questionnaire, evidence matrix, confidentiality controls and improvement plan.</dc:subject>
  <dc:creator>London Reporting Academy</dc:creator>
  <cp:keywords>TNFD, nature-related disclosure, LEAP, sector guidance, London Reporting Academy</cp:keywords>
  <dc:description>Prepared and reviewed to source set current at 3 August 2026.</dc:description>
  <cp:lastModifiedBy>London Reporting Academy</cp:lastModifiedBy>
  <cp:revision>1</cp:revision>
  <dcterms:created xsi:type="dcterms:W3CDTF">2013-12-23T23:15:00Z</dcterms:created>
  <dcterms:modified xsi:type="dcterms:W3CDTF">2013-12-23T23:15:00Z</dcterms:modified>
  <cp:category/>
</cp:coreProperties>
</file>