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Layout w:type="fixed"/>
      </w:tblPr>
      <w:tblGrid>
        <w:gridCol w:w="10036"/>
      </w:tblGrid>
      <w:tr>
        <w:trPr>
          <w:trHeight w:val="4706" w:hRule="atLeast"/>
        </w:trPr>
        <w:tc>
          <w:tcPr>
            <w:tcW w:type="dxa" w:w="10036"/>
            <w:shd w:fill="173F65"/>
            <w:tcMar>
              <w:top w:w="420" w:type="dxa"/>
              <w:start w:w="420" w:type="dxa"/>
              <w:bottom w:w="380" w:type="dxa"/>
              <w:end w:w="420" w:type="dxa"/>
            </w:tcMar>
          </w:tcPr>
          <w:p>
            <w:pPr>
              <w:spacing w:before="0" w:after="160" w:line="240" w:lineRule="auto"/>
              <w:jc w:val="right"/>
            </w:pPr>
            <w:r>
              <w:drawing>
                <wp:inline xmlns:a="http://schemas.openxmlformats.org/drawingml/2006/main" xmlns:pic="http://schemas.openxmlformats.org/drawingml/2006/picture">
                  <wp:extent cx="1800000" cy="387624"/>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_white_panel.png"/>
                          <pic:cNvPicPr/>
                        </pic:nvPicPr>
                        <pic:blipFill>
                          <a:blip r:embed="rId11"/>
                          <a:stretch>
                            <a:fillRect/>
                          </a:stretch>
                        </pic:blipFill>
                        <pic:spPr>
                          <a:xfrm>
                            <a:off x="0" y="0"/>
                            <a:ext cx="1800000" cy="387624"/>
                          </a:xfrm>
                          <a:prstGeom prst="rect"/>
                        </pic:spPr>
                      </pic:pic>
                    </a:graphicData>
                  </a:graphic>
                </wp:inline>
              </w:drawing>
            </w:r>
          </w:p>
          <w:p>
            <w:pPr>
              <w:spacing w:before="320" w:after="160" w:line="240" w:lineRule="auto"/>
              <w:bidi w:val="1"/>
            </w:pPr>
            <w:r>
              <w:rPr>
                <w:rFonts w:ascii="Lato" w:hAnsi="Lato" w:eastAsia="Lato"/>
                <w:b/>
                <w:color w:val="FFFFFF"/>
                <w:sz w:val="50"/>
                <w:rtl w:val="1"/>
              </w:rPr>
              <w:t>UK SRS S2 نموذج الإفصاح عن التقرير السنوي</w:t>
            </w:r>
          </w:p>
          <w:p>
            <w:pPr>
              <w:spacing w:before="100" w:after="0" w:line="259" w:lineRule="auto"/>
              <w:bidi w:val="1"/>
            </w:pPr>
            <w:r>
              <w:rPr>
                <w:rFonts w:ascii="Lato" w:hAnsi="Lato" w:eastAsia="Lato"/>
                <w:color w:val="DCE9F5"/>
                <w:sz w:val="26"/>
                <w:rtl w:val="1"/>
              </w:rPr>
              <w:t>الهيكل الذي يمكن تحريره ومصادر إرشادات لتشكيل أساس التحضير، أربعة ركائز، سيناريوهات، GHG, الآثار المالية, الأحكام, الأحكام، الإشارات المتقاطعة والإقرار</w:t>
            </w:r>
          </w:p>
        </w:tc>
      </w:tr>
    </w:tbl>
    <w:p/>
    <w:tbl>
      <w:tblPr>
        <w:tblW w:type="auto" w:w="0"/>
        <w:jc w:val="center"/>
        <w:tblLook w:firstColumn="1" w:firstRow="1" w:lastColumn="0" w:lastRow="0" w:noHBand="0" w:noVBand="1" w:val="04A0"/>
        <w:tblLayout w:type="fixed"/>
      </w:tblPr>
      <w:tblGrid>
        <w:gridCol w:w="5018"/>
        <w:gridCol w:w="5018"/>
      </w:tblGrid>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رقم المادة</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UKSRS-S2-TPL-001</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نوع المنشورات</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نموذج تقرير عملي</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الجمهور الأساسي</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UK فريق تقرير سنوي، التمويل، الاستدامة، المخاطر، وكاتب الشركة</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الولاية القضائية</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المملكة المتحدة</w:t>
            </w:r>
          </w:p>
        </w:tc>
      </w:tr>
      <w:tr>
        <w:tc>
          <w:tcPr>
            <w:tcW w:type="dxa" w:w="2381"/>
            <w:shd w:fill="EAF1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التوقف التقني</w:t>
            </w:r>
          </w:p>
        </w:tc>
        <w:tc>
          <w:tcPr>
            <w:tcW w:type="dxa" w:w="7427"/>
            <w:shd w:fill="FFFFFF"/>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3 أغسطس 2026</w:t>
            </w:r>
          </w:p>
        </w:tc>
      </w:tr>
      <w:tr>
        <w:tc>
          <w:tcPr>
            <w:tcW w:type="dxa" w:w="2381"/>
            <w:shd w:fill="DDEB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b/>
                <w:color w:val="173F65"/>
                <w:sz w:val="18"/>
                <w:rtl w:val="1"/>
              </w:rPr>
              <w:t>حالة الإبلاغ</w:t>
            </w:r>
          </w:p>
        </w:tc>
        <w:tc>
          <w:tcPr>
            <w:tcW w:type="dxa" w:w="7427"/>
            <w:shd w:fill="F3F5F7"/>
            <w:tcMar>
              <w:top w:w="90" w:type="dxa"/>
              <w:start w:w="120" w:type="dxa"/>
              <w:bottom w:w="90" w:type="dxa"/>
              <w:end w:w="120" w:type="dxa"/>
            </w:tcMar>
            <w:tcBorders>
              <w:top w:val="single" w:sz="4" w:color="C8D2DC"/>
              <w:left w:val="single" w:sz="4" w:color="C8D2DC"/>
              <w:bottom w:val="single" w:sz="4" w:color="C8D2DC"/>
              <w:right w:val="single" w:sz="4" w:color="C8D2DC"/>
            </w:tcBorders>
          </w:tcPr>
          <w:p>
            <w:pPr>
              <w:spacing w:before="0" w:after="0" w:line="240" w:lineRule="auto"/>
              <w:bidi w:val="1"/>
            </w:pPr>
            <w:r>
              <w:rPr>
                <w:rFonts w:ascii="Lato" w:hAnsi="Lato" w:eastAsia="Lato"/>
                <w:color w:val="26384A"/>
                <w:sz w:val="18"/>
                <w:rtl w:val="1"/>
              </w:rPr>
              <w:t>نموذج تنفيذ مثالي. UK القانون واللوائح المعمول بها والحقائق الخاصة بالهيئة.</w:t>
            </w:r>
          </w:p>
        </w:tc>
      </w:tr>
    </w:tbl>
    <w:p>
      <w:pPr>
        <w:spacing w:before="240" w:after="0" w:line="252" w:lineRule="auto"/>
        <w:jc w:val="center"/>
        <w:bidi w:val="1"/>
      </w:pPr>
      <w:r>
        <w:rPr>
          <w:rFonts w:ascii="Lato" w:hAnsi="Lato" w:eastAsia="Lato"/>
          <w:i/>
          <w:color w:val="667788"/>
          <w:sz w:val="16"/>
          <w:rtl w:val="1"/>
        </w:rPr>
        <w:t>إرشادات تعليمية للممارسين. لا تُعد مشورة قانونية أو مشورة بشأن خدمات التأكيد. قبل اتخاذ أي إجراء، تحقّق من النص الحالي لمعايير UK SRS وقواعد إعداد التقارير المعمول بها والحقائق الخاصة بالمنشأة.</w:t>
      </w:r>
    </w:p>
    <w:p>
      <w:r>
        <w:br w:type="page"/>
      </w:r>
    </w:p>
    <w:tbl>
      <w:tblPr>
        <w:tblW w:type="auto" w:w="0"/>
        <w:jc w:val="center"/>
        <w:tblLook w:firstColumn="1" w:firstRow="1" w:lastColumn="0" w:lastRow="0" w:noHBand="0" w:noVBand="1" w:val="04A0"/>
        <w:tblLayout w:type="fixed"/>
      </w:tblPr>
      <w:tblGrid>
        <w:gridCol w:w="10036"/>
      </w:tblGrid>
      <w:tr>
        <w:tc>
          <w:tcPr>
            <w:tcW w:type="dxa" w:w="10036"/>
            <w:shd w:fill="EAF1F7"/>
            <w:tcMar>
              <w:top w:w="180" w:type="dxa"/>
              <w:start w:w="200" w:type="dxa"/>
              <w:bottom w:w="160" w:type="dxa"/>
              <w:end w:w="200" w:type="dxa"/>
            </w:tcMar>
            <w:tcBorders>
              <w:top w:val="single" w:sz="4" w:color="C8D2DC"/>
              <w:left w:val="single" w:sz="24" w:color="2A6F97"/>
              <w:bottom w:val="single" w:sz="4" w:color="C8D2DC"/>
              <w:right w:val="single" w:sz="4" w:color="C8D2DC"/>
            </w:tcBorders>
          </w:tcPr>
          <w:p>
            <w:pPr>
              <w:spacing w:before="0" w:after="100" w:line="240" w:lineRule="auto"/>
              <w:bidi w:val="1"/>
            </w:pPr>
            <w:r>
              <w:rPr>
                <w:rFonts w:ascii="Lato" w:hAnsi="Lato" w:eastAsia="Lato"/>
                <w:b/>
                <w:color w:val="173F65"/>
                <w:sz w:val="20"/>
                <w:rtl w:val="1"/>
              </w:rPr>
              <w:t>كيفية استخدام هذا المعبد</w:t>
            </w:r>
          </w:p>
          <w:p>
            <w:pPr>
              <w:spacing w:before="0" w:after="60" w:line="269" w:lineRule="auto"/>
              <w:bidi w:val="1"/>
            </w:pPr>
            <w:r>
              <w:rPr>
                <w:rFonts w:ascii="Lato" w:hAnsi="Lato" w:eastAsia="Lato"/>
                <w:b/>
                <w:color w:val="26384A"/>
                <w:sz w:val="22"/>
                <w:rtl w:val="1"/>
              </w:rPr>
              <w:t>استبدل كل طلب مفصل بالمعرفة المحددة للشركة، والتي تدعمها الأدلة. حذف إرشادات صياغة غير قابلة للتطبيق فقط بعد توثيق قرار التطبيق أو الجوهرية في صفحة الإفصاح. لا تعامل مع الشكل كنموذج رسمي أو بيان مطابقة نموذج.</w:t>
            </w:r>
          </w:p>
          <w:p>
            <w:pPr>
              <w:spacing w:before="40" w:after="0" w:line="254" w:lineRule="auto"/>
              <w:bidi w:val="1"/>
            </w:pPr>
            <w:r>
              <w:rPr>
                <w:rFonts w:ascii="Lato" w:hAnsi="Lato" w:eastAsia="Lato"/>
                <w:i/>
                <w:color w:val="667788"/>
                <w:sz w:val="17"/>
                <w:rtl w:val="1"/>
              </w:rPr>
              <w:t>استخدم مع UK SRS S2 المصفوفة الإفصاحية المناخية و حزمة مصادر رسمية حالية.</w:t>
            </w:r>
          </w:p>
        </w:tc>
      </w:tr>
    </w:tbl>
    <w:p>
      <w:pPr>
        <w:spacing w:after="0"/>
      </w:pPr>
    </w:p>
    <w:p>
      <w:pPr>
        <w:pStyle w:val="Heading1"/>
        <w:bidi w:val="1"/>
      </w:pPr>
      <w:r>
        <w:rPr>
          <w:rtl w:val="1"/>
        </w:rPr>
        <w:t>التحكم في الوثائق</w:t>
      </w:r>
    </w:p>
    <w:tbl>
      <w:tblPr>
        <w:tblW w:type="auto" w:w="0"/>
        <w:jc w:val="center"/>
        <w:tblLook w:firstColumn="1" w:firstRow="1" w:lastColumn="0" w:lastRow="0" w:noHBand="0" w:noVBand="1" w:val="04A0"/>
        <w:tblLayout w:type="fixed"/>
      </w:tblPr>
      <w:tblGrid>
        <w:gridCol w:w="5018"/>
        <w:gridCol w:w="5018"/>
      </w:tblGrid>
      <w:tr>
        <w:trPr>
          <w:tblHeader w:val="true"/>
        </w:trPr>
        <w:tc>
          <w:tcPr>
            <w:tcW w:type="dxa" w:w="2948"/>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الحقل</w:t>
            </w:r>
          </w:p>
        </w:tc>
        <w:tc>
          <w:tcPr>
            <w:tcW w:type="dxa" w:w="686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الدخول المسيطر عليه</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الكيان</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[إدخال القانونية / مؤسسة تقرير متضامنة]</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فترة الإبلاغ</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 PERIOD]</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موقع تقرير السنوي</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[إدخال تقرير استراتيجي / غرض عام آخر تقرير مالي موقع]</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UK حالة الإبلاغ عن SRS</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[طوعي / حالي طريق التزامن تأكيد]</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UK المطالبة بالبيانات السرية</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[مصدر المزاعم تخضع للمساعدة النهائية والموافقة]</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أعدته</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[NAME / ROLE]</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المراجعة الفنية</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[NAME / ROLE]</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موافقة المدير المالي</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لجنة المراجعة</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[DATE / STATUS]</w:t>
            </w:r>
          </w:p>
        </w:tc>
      </w:tr>
      <w:tr>
        <w:tc>
          <w:tcPr>
            <w:tcW w:type="dxa" w:w="2948"/>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موافقة مجلس الإدارة</w:t>
            </w:r>
          </w:p>
        </w:tc>
        <w:tc>
          <w:tcPr>
            <w:tcW w:type="dxa" w:w="686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[DATE / STATUS]</w:t>
            </w:r>
          </w:p>
        </w:tc>
      </w:tr>
      <w:tr>
        <w:tc>
          <w:tcPr>
            <w:tcW w:type="dxa" w:w="2948"/>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color w:val="173F65"/>
                <w:sz w:val="17"/>
                <w:rtl w:val="1"/>
              </w:rPr>
              <w:t>الإصدار وتاريخ الإصدار</w:t>
            </w:r>
          </w:p>
        </w:tc>
        <w:tc>
          <w:tcPr>
            <w:tcW w:type="dxa" w:w="686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[VERSION / DATE / ARCHIVE LOCATION]</w:t>
            </w:r>
          </w:p>
        </w:tc>
      </w:tr>
    </w:tbl>
    <w:p>
      <w:pPr>
        <w:spacing w:after="0"/>
      </w:pPr>
    </w:p>
    <w:p>
      <w:pPr>
        <w:pStyle w:val="Heading1"/>
        <w:bidi w:val="1"/>
      </w:pPr>
      <w:r>
        <w:rPr>
          <w:rtl w:val="1"/>
        </w:rPr>
        <w:t>المحتوى المقترح</w:t>
      </w:r>
    </w:p>
    <w:tbl>
      <w:tblPr>
        <w:tblW w:type="auto" w:w="0"/>
        <w:jc w:val="center"/>
        <w:tblLook w:firstColumn="1" w:firstRow="1" w:lastColumn="0" w:lastRow="0" w:noHBand="0" w:noVBand="1" w:val="04A0"/>
        <w:tblLayout w:type="fixed"/>
      </w:tblPr>
      <w:tblGrid>
        <w:gridCol w:w="3345"/>
        <w:gridCol w:w="3345"/>
        <w:gridCol w:w="3345"/>
      </w:tblGrid>
      <w:tr>
        <w:trPr>
          <w:tblHeader w:val="true"/>
        </w:trPr>
        <w:tc>
          <w:tcPr>
            <w:tcW w:type="dxa" w:w="567"/>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w:t>
            </w:r>
          </w:p>
        </w:tc>
        <w:tc>
          <w:tcPr>
            <w:tcW w:type="dxa" w:w="6520"/>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القسم</w:t>
            </w:r>
          </w:p>
        </w:tc>
        <w:tc>
          <w:tcPr>
            <w:tcW w:type="dxa" w:w="272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موقع العمل / الصفحات</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أساس إعداد وإعلان الامتثال</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2</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الحكم</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3</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المخاطر والفرص المتعلقة بالمناخ</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4</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الاستراتيجية والأنشطة الانتقالية والموارد</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5</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تحليل سيناريوهات ومواجهة المناخ</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6</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الآثار المالية الحالية والمتوقعة</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7</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إدارة المخاطر</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8</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المقاييس والمستهداف المناخية</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9</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GHG الانبعاثات والانبعاثيات الممولة</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10</w:t>
            </w:r>
          </w:p>
        </w:tc>
        <w:tc>
          <w:tcPr>
            <w:tcW w:type="dxa" w:w="6520"/>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الأحكام والتقديرات والإجراءات والتغييرات</w:t>
            </w:r>
          </w:p>
        </w:tc>
        <w:tc>
          <w:tcPr>
            <w:tcW w:type="dxa" w:w="272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567"/>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11</w:t>
            </w:r>
          </w:p>
        </w:tc>
        <w:tc>
          <w:tcPr>
            <w:tcW w:type="dxa" w:w="6520"/>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مؤشر الإفصاح والإشارات المتقاطعة</w:t>
            </w:r>
          </w:p>
        </w:tc>
        <w:tc>
          <w:tcPr>
            <w:tcW w:type="dxa" w:w="272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bl>
    <w:p>
      <w:pPr>
        <w:spacing w:after="0"/>
      </w:pPr>
    </w:p>
    <w:p>
      <w:pPr>
        <w:pStyle w:val="Heading1"/>
        <w:bidi w:val="1"/>
      </w:pPr>
      <w:r>
        <w:rPr>
          <w:rtl w:val="1"/>
        </w:rPr>
        <w:t>1أساس إعداد وإعلان الامتثال</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شرح ما هو التقرير الذي تم إعداده، وبالنسبة إلى أي كيان وفترة، وكيف تم اختيار المعلومات المهمة، ومكان توجد المعلومات وما هي. UK الأحكام أو طرق الإبلاغ تؤثر على المطالبة.</w:t>
            </w:r>
          </w:p>
        </w:tc>
      </w:tr>
    </w:tbl>
    <w:p>
      <w:pPr>
        <w:spacing w:after="0"/>
      </w:pPr>
    </w:p>
    <w:p>
      <w:pPr>
        <w:pStyle w:val="Heading2"/>
        <w:bidi w:val="1"/>
      </w:pPr>
      <w:r>
        <w:rPr>
          <w:rtl w:val="1"/>
        </w:rPr>
        <w:t>1.1 أساس الإبلاغ</w:t>
      </w:r>
    </w:p>
    <w:p>
      <w:pPr>
        <w:spacing w:before="0" w:after="80" w:line="269" w:lineRule="auto"/>
        <w:bidi w:val="1"/>
      </w:pPr>
      <w:r>
        <w:rPr>
          <w:rFonts w:ascii="Lato" w:hAnsi="Lato" w:eastAsia="Lato"/>
          <w:i w:val="0"/>
          <w:color w:val="26384A"/>
          <w:sz w:val="19"/>
          <w:rtl w:val="1"/>
        </w:rPr>
        <w:t>[إدخال: كيان تقرير؛ نفس الكيان الذي يضم البيانات المالية؛ فترة التقرير؛ العملة والوحدات إذا كان ذلك مناسباً؛ ما إذا كانت المعلومات مدمجة؛ الاستحواذ/التخلص من المواد؛ التمييزات الحدودية الخاصة بالمناخ.]</w:t>
      </w:r>
    </w:p>
    <w:p>
      <w:pPr>
        <w:pStyle w:val="Heading2"/>
        <w:bidi w:val="1"/>
      </w:pPr>
      <w:r>
        <w:rPr>
          <w:rtl w:val="1"/>
        </w:rPr>
        <w:t>1.2 المادة</w:t>
      </w:r>
    </w:p>
    <w:p>
      <w:pPr>
        <w:spacing w:before="0" w:after="80" w:line="269" w:lineRule="auto"/>
        <w:bidi w:val="1"/>
      </w:pPr>
      <w:r>
        <w:rPr>
          <w:rFonts w:ascii="Lato" w:hAnsi="Lato" w:eastAsia="Lato"/>
          <w:i w:val="0"/>
          <w:color w:val="26384A"/>
          <w:sz w:val="19"/>
          <w:rtl w:val="1"/>
        </w:rPr>
        <w:t>[إدخال: كيف تم تحديد المخاطر والفرص ذات الصلة بالمناخ بالنسبة للمستخدمين الأساسيين؛ طبيعة وحجمها؛ المصادر؛ الحوكمة؛ التغييرات من التقييم السابق.]</w:t>
      </w:r>
    </w:p>
    <w:p>
      <w:pPr>
        <w:pStyle w:val="Heading2"/>
        <w:bidi w:val="1"/>
      </w:pPr>
      <w:r>
        <w:rPr>
          <w:rtl w:val="1"/>
        </w:rPr>
        <w:t>1.3 المصادر والصناعات المستخدمة</w:t>
      </w:r>
    </w:p>
    <w:p>
      <w:pPr>
        <w:spacing w:before="0" w:after="80" w:line="269" w:lineRule="auto"/>
        <w:bidi w:val="1"/>
      </w:pPr>
      <w:r>
        <w:rPr>
          <w:rFonts w:ascii="Lato" w:hAnsi="Lato" w:eastAsia="Lato"/>
          <w:i w:val="0"/>
          <w:color w:val="26384A"/>
          <w:sz w:val="19"/>
          <w:rtl w:val="1"/>
        </w:rPr>
        <w:t>[إدخال: UK مصادر SRS؛ الصناعات والإرشادات المطبقة فعلياً؛ المقاييس التي طورتها الكيان؛ نسخ المصدر.]</w:t>
      </w:r>
    </w:p>
    <w:p>
      <w:pPr>
        <w:pStyle w:val="Heading2"/>
        <w:bidi w:val="1"/>
      </w:pPr>
      <w:r>
        <w:rPr>
          <w:rtl w:val="1"/>
        </w:rPr>
        <w:t>1.4 الموقع والإشارات المتقاطعة</w:t>
      </w:r>
    </w:p>
    <w:p>
      <w:pPr>
        <w:spacing w:before="0" w:after="80" w:line="269" w:lineRule="auto"/>
        <w:bidi w:val="1"/>
      </w:pPr>
      <w:r>
        <w:rPr>
          <w:rFonts w:ascii="Lato" w:hAnsi="Lato" w:eastAsia="Lato"/>
          <w:i w:val="0"/>
          <w:color w:val="26384A"/>
          <w:sz w:val="19"/>
          <w:rtl w:val="1"/>
        </w:rPr>
        <w:t>[إدخال: موقع التقرير السنوي؛ سياسة التأسيس حسب المرجع؛ وثائق/صفحات مرجعية دقيقة؛ توافر في نفس الوقت ومراقبة الأرشيف.]</w:t>
      </w:r>
    </w:p>
    <w:p>
      <w:pPr>
        <w:pStyle w:val="Heading2"/>
        <w:bidi w:val="1"/>
      </w:pPr>
      <w:r>
        <w:rPr>
          <w:rtl w:val="1"/>
        </w:rPr>
        <w:t>1.5 الأحكام وإعلان الامتثال</w:t>
      </w:r>
    </w:p>
    <w:p>
      <w:pPr>
        <w:spacing w:before="0" w:after="80" w:line="269" w:lineRule="auto"/>
        <w:bidi w:val="1"/>
      </w:pPr>
      <w:r>
        <w:rPr>
          <w:rFonts w:ascii="Lato" w:hAnsi="Lato" w:eastAsia="Lato"/>
          <w:i w:val="0"/>
          <w:color w:val="26384A"/>
          <w:sz w:val="19"/>
          <w:rtl w:val="1"/>
        </w:rPr>
        <w:t>[إدخال: بالضبط] UK SRS E3/C3/C4 أو أي حكم آخر مستخدم؛ حالة؛ المعلومات المتأثرة؛ تأثير مقارن؛ قيود الطريق الملزم؛ تأثير على UK SRS S1/S2 و أي IFRS المطالبة.]</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الشركة المقدمة للإبلاغات التي تم تكييفها مع البيانات المالية.</w:t>
      </w:r>
    </w:p>
    <w:p>
      <w:pPr>
        <w:pStyle w:val="ListBullet"/>
        <w:spacing w:before="0" w:after="60" w:line="259" w:lineRule="auto"/>
        <w:bidi w:val="1"/>
      </w:pPr>
      <w:r>
        <w:rPr>
          <w:rFonts w:ascii="Lato" w:hAnsi="Lato" w:eastAsia="Lato"/>
          <w:color w:val="26384A"/>
          <w:sz w:val="19"/>
          <w:rtl w:val="1"/>
        </w:rPr>
        <w:t>☐ سجل المادة المعتمد.</w:t>
      </w:r>
    </w:p>
    <w:p>
      <w:pPr>
        <w:pStyle w:val="ListBullet"/>
        <w:spacing w:before="0" w:after="60" w:line="259" w:lineRule="auto"/>
        <w:bidi w:val="1"/>
      </w:pPr>
      <w:r>
        <w:rPr>
          <w:rFonts w:ascii="Lato" w:hAnsi="Lato" w:eastAsia="Lato"/>
          <w:color w:val="26384A"/>
          <w:sz w:val="19"/>
          <w:rtl w:val="1"/>
        </w:rPr>
        <w:t>☐ سجل المصدر والصناعة كامل.</w:t>
      </w:r>
    </w:p>
    <w:p>
      <w:pPr>
        <w:pStyle w:val="ListBullet"/>
        <w:spacing w:before="0" w:after="60" w:line="259" w:lineRule="auto"/>
        <w:bidi w:val="1"/>
      </w:pPr>
      <w:r>
        <w:rPr>
          <w:rFonts w:ascii="Lato" w:hAnsi="Lato" w:eastAsia="Lato"/>
          <w:color w:val="26384A"/>
          <w:sz w:val="19"/>
          <w:rtl w:val="1"/>
        </w:rPr>
        <w:t>☐ الإشارات المتقاطعة التي تم اختبارها عند الإفراج.</w:t>
      </w:r>
    </w:p>
    <w:p>
      <w:pPr>
        <w:pStyle w:val="ListBullet"/>
        <w:spacing w:before="0" w:after="60" w:line="259" w:lineRule="auto"/>
        <w:bidi w:val="1"/>
      </w:pPr>
      <w:r>
        <w:rPr>
          <w:rFonts w:ascii="Lato" w:hAnsi="Lato" w:eastAsia="Lato"/>
          <w:color w:val="26384A"/>
          <w:sz w:val="19"/>
          <w:rtl w:val="1"/>
        </w:rPr>
        <w:t>☐ مذكرة الإمدادات والمطالبة المعتمدة.</w:t>
      </w:r>
    </w:p>
    <w:p>
      <w:pPr>
        <w:pStyle w:val="Heading1"/>
        <w:bidi w:val="1"/>
      </w:pPr>
      <w:r>
        <w:rPr>
          <w:rtl w:val="1"/>
        </w:rPr>
        <w:t>2الحكم</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وصف عمليات الإشراف والإدارة الفعلية، وليس فقط بنية الحوكمة.</w:t>
            </w:r>
          </w:p>
        </w:tc>
      </w:tr>
    </w:tbl>
    <w:p>
      <w:pPr>
        <w:spacing w:after="0"/>
      </w:pPr>
    </w:p>
    <w:p>
      <w:pPr>
        <w:pStyle w:val="Heading2"/>
        <w:bidi w:val="1"/>
      </w:pPr>
      <w:r>
        <w:rPr>
          <w:rtl w:val="1"/>
        </w:rPr>
        <w:t>2.1 الإشراف على هيئة الحكم</w:t>
      </w:r>
    </w:p>
    <w:p>
      <w:pPr>
        <w:spacing w:before="0" w:after="80" w:line="269" w:lineRule="auto"/>
        <w:bidi w:val="1"/>
      </w:pPr>
      <w:r>
        <w:rPr>
          <w:rFonts w:ascii="Lato" w:hAnsi="Lato" w:eastAsia="Lato"/>
          <w:i w:val="0"/>
          <w:color w:val="26384A"/>
          <w:sz w:val="19"/>
          <w:rtl w:val="1"/>
        </w:rPr>
        <w:t>[إدخال: ولاية المجلس/اللجنة؛ مسؤوليات؛ المعلومات وتكرارها؛ المهارات؛ قرارات الاستراتيجية والمعاملات؛ مراقبة الأهداف؛ القرارات خلال الفترة؛ التغييرات.]</w:t>
      </w:r>
    </w:p>
    <w:p>
      <w:pPr>
        <w:pStyle w:val="Heading2"/>
        <w:bidi w:val="1"/>
      </w:pPr>
      <w:r>
        <w:rPr>
          <w:rtl w:val="1"/>
        </w:rPr>
        <w:t>2.2 أدوار الإدارة والتحكمات</w:t>
      </w:r>
    </w:p>
    <w:p>
      <w:pPr>
        <w:spacing w:before="0" w:after="80" w:line="269" w:lineRule="auto"/>
        <w:bidi w:val="1"/>
      </w:pPr>
      <w:r>
        <w:rPr>
          <w:rFonts w:ascii="Lato" w:hAnsi="Lato" w:eastAsia="Lato"/>
          <w:i w:val="0"/>
          <w:color w:val="26384A"/>
          <w:sz w:val="19"/>
          <w:rtl w:val="1"/>
        </w:rPr>
        <w:t>[إدخال: أدوار الإدارة المسموح بها؛ خطوط التقارير؛ مسؤوليات البيانات والتحكم؛ التصعيد؛ اللجان الداخلية؛ ممثلي الإدارة.]</w:t>
      </w:r>
    </w:p>
    <w:p>
      <w:pPr>
        <w:pStyle w:val="Heading2"/>
        <w:bidi w:val="1"/>
      </w:pPr>
      <w:r>
        <w:rPr>
          <w:rtl w:val="1"/>
        </w:rPr>
        <w:t>2.3 الإجابة</w:t>
      </w:r>
    </w:p>
    <w:p>
      <w:pPr>
        <w:spacing w:before="0" w:after="80" w:line="269" w:lineRule="auto"/>
        <w:bidi w:val="1"/>
      </w:pPr>
      <w:r>
        <w:rPr>
          <w:rFonts w:ascii="Lato" w:hAnsi="Lato" w:eastAsia="Lato"/>
          <w:i w:val="0"/>
          <w:color w:val="26384A"/>
          <w:sz w:val="19"/>
          <w:rtl w:val="1"/>
        </w:rPr>
        <w:t>[إدخال: ما إذا كانت و كيف تدخل الاعتبارات المناخية في الإجراءات التأجيرية؛ السكان؛ المقياسات؛ الوزن؛ النتيجة؛ موافقة الحوكمة.]</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ولايات اللجنة وأحكامها الحالية.</w:t>
      </w:r>
    </w:p>
    <w:p>
      <w:pPr>
        <w:pStyle w:val="ListBullet"/>
        <w:spacing w:before="0" w:after="60" w:line="259" w:lineRule="auto"/>
        <w:bidi w:val="1"/>
      </w:pPr>
      <w:r>
        <w:rPr>
          <w:rFonts w:ascii="Lato" w:hAnsi="Lato" w:eastAsia="Lato"/>
          <w:color w:val="26384A"/>
          <w:sz w:val="19"/>
          <w:rtl w:val="1"/>
        </w:rPr>
        <w:t>☐ وثائق مجلس الإدارة و النتائج تؤيد الادعاءات.</w:t>
      </w:r>
    </w:p>
    <w:p>
      <w:pPr>
        <w:pStyle w:val="ListBullet"/>
        <w:spacing w:before="0" w:after="60" w:line="259" w:lineRule="auto"/>
        <w:bidi w:val="1"/>
      </w:pPr>
      <w:r>
        <w:rPr>
          <w:rFonts w:ascii="Lato" w:hAnsi="Lato" w:eastAsia="Lato"/>
          <w:color w:val="26384A"/>
          <w:sz w:val="19"/>
          <w:rtl w:val="1"/>
        </w:rPr>
        <w:t>☐ وصف دور الإدارة يطابق العملية الفعلية.</w:t>
      </w:r>
    </w:p>
    <w:p>
      <w:pPr>
        <w:pStyle w:val="ListBullet"/>
        <w:spacing w:before="0" w:after="60" w:line="259" w:lineRule="auto"/>
        <w:bidi w:val="1"/>
      </w:pPr>
      <w:r>
        <w:rPr>
          <w:rFonts w:ascii="Lato" w:hAnsi="Lato" w:eastAsia="Lato"/>
          <w:color w:val="26384A"/>
          <w:sz w:val="19"/>
          <w:rtl w:val="1"/>
        </w:rPr>
        <w:t>☐ بيانات الأجور الموافقة عليها و المعتمدة.</w:t>
      </w:r>
    </w:p>
    <w:p>
      <w:pPr>
        <w:pStyle w:val="Heading1"/>
        <w:bidi w:val="1"/>
      </w:pPr>
      <w:r>
        <w:rPr>
          <w:rtl w:val="1"/>
        </w:rPr>
        <w:t>3المخاطر والفرص المتعلقة بالمناخ</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تحديد المخاطر المادية والانتقالية والفرص المناخية، وأفقات الزمن وتركيزاتها وسبل نقلها.</w:t>
            </w:r>
          </w:p>
        </w:tc>
      </w:tr>
    </w:tbl>
    <w:p>
      <w:pPr>
        <w:spacing w:after="0"/>
      </w:pPr>
    </w:p>
    <w:p>
      <w:pPr>
        <w:pStyle w:val="Heading2"/>
        <w:bidi w:val="1"/>
      </w:pPr>
      <w:r>
        <w:rPr>
          <w:rtl w:val="1"/>
        </w:rPr>
        <w:t>3.1 الأفق الزمني</w:t>
      </w:r>
    </w:p>
    <w:p>
      <w:pPr>
        <w:spacing w:before="0" w:after="80" w:line="269" w:lineRule="auto"/>
        <w:bidi w:val="1"/>
      </w:pPr>
      <w:r>
        <w:rPr>
          <w:rFonts w:ascii="Lato" w:hAnsi="Lato" w:eastAsia="Lato"/>
          <w:i w:val="0"/>
          <w:color w:val="26384A"/>
          <w:sz w:val="19"/>
          <w:rtl w:val="1"/>
        </w:rPr>
        <w:t>[إدخال: الأفقات المحددة على المدى القصير والمتوسط والطويل وعلاقتها مع دورات التخطيط وحياة الأصول والقرارات الاستراتيجية.]</w:t>
      </w:r>
    </w:p>
    <w:p>
      <w:pPr>
        <w:pStyle w:val="Heading2"/>
        <w:bidi w:val="1"/>
      </w:pPr>
      <w:r>
        <w:rPr>
          <w:rtl w:val="1"/>
        </w:rPr>
        <w:t>3.2 جدول المسائل المادية</w:t>
      </w:r>
    </w:p>
    <w:p>
      <w:pPr>
        <w:spacing w:before="0" w:after="80" w:line="269" w:lineRule="auto"/>
        <w:bidi w:val="1"/>
      </w:pPr>
      <w:r>
        <w:rPr>
          <w:rFonts w:ascii="Lato" w:hAnsi="Lato" w:eastAsia="Lato"/>
          <w:i w:val="0"/>
          <w:color w:val="26384A"/>
          <w:sz w:val="19"/>
          <w:rtl w:val="1"/>
        </w:rPr>
        <w:t>[جدول إدخال: هوية؛ المخاطر/الفرص؛ المادي/التحول/الفرصة؛ الأفق الزمني؛ الجغرافيا/النشاط/سلسلة القيمة؛ الاحتمال/القدر؛ المسار المالي؛ صاحبها؛ مؤشر المراقبة.]</w:t>
      </w:r>
    </w:p>
    <w:p>
      <w:pPr>
        <w:pStyle w:val="Heading2"/>
        <w:bidi w:val="1"/>
      </w:pPr>
      <w:r>
        <w:rPr>
          <w:rtl w:val="1"/>
        </w:rPr>
        <w:t>3.3 التغييرات عن الفترة السابقة</w:t>
      </w:r>
    </w:p>
    <w:p>
      <w:pPr>
        <w:spacing w:before="0" w:after="80" w:line="269" w:lineRule="auto"/>
        <w:bidi w:val="1"/>
      </w:pPr>
      <w:r>
        <w:rPr>
          <w:rFonts w:ascii="Lato" w:hAnsi="Lato" w:eastAsia="Lato"/>
          <w:i w:val="0"/>
          <w:color w:val="26384A"/>
          <w:sz w:val="19"/>
          <w:rtl w:val="1"/>
        </w:rPr>
        <w:t>[إدخال: مسائل جديدة، غيرة، أعادت الأولوية أو تم إزالتها.]</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سجل المخاطر والفرص كامل.</w:t>
      </w:r>
    </w:p>
    <w:p>
      <w:pPr>
        <w:pStyle w:val="ListBullet"/>
        <w:spacing w:before="0" w:after="60" w:line="259" w:lineRule="auto"/>
        <w:bidi w:val="1"/>
      </w:pPr>
      <w:r>
        <w:rPr>
          <w:rFonts w:ascii="Lato" w:hAnsi="Lato" w:eastAsia="Lato"/>
          <w:color w:val="26384A"/>
          <w:sz w:val="19"/>
          <w:rtl w:val="1"/>
        </w:rPr>
        <w:t>☐ تم الحفاظ على منطقية المادة.</w:t>
      </w:r>
    </w:p>
    <w:p>
      <w:pPr>
        <w:pStyle w:val="ListBullet"/>
        <w:spacing w:before="0" w:after="60" w:line="259" w:lineRule="auto"/>
        <w:bidi w:val="1"/>
      </w:pPr>
      <w:r>
        <w:rPr>
          <w:rFonts w:ascii="Lato" w:hAnsi="Lato" w:eastAsia="Lato"/>
          <w:color w:val="26384A"/>
          <w:sz w:val="19"/>
          <w:rtl w:val="1"/>
        </w:rPr>
        <w:t>☐ اختبرت التركيزات والروابط في سلسلة القيمة.</w:t>
      </w:r>
    </w:p>
    <w:p>
      <w:pPr>
        <w:pStyle w:val="ListBullet"/>
        <w:spacing w:before="0" w:after="60" w:line="259" w:lineRule="auto"/>
        <w:bidi w:val="1"/>
      </w:pPr>
      <w:r>
        <w:rPr>
          <w:rFonts w:ascii="Lato" w:hAnsi="Lato" w:eastAsia="Lato"/>
          <w:color w:val="26384A"/>
          <w:sz w:val="19"/>
          <w:rtl w:val="1"/>
        </w:rPr>
        <w:t>☐ مسارات مالية رسم الخريطة.</w:t>
      </w:r>
    </w:p>
    <w:p>
      <w:pPr>
        <w:pStyle w:val="Heading1"/>
        <w:bidi w:val="1"/>
      </w:pPr>
      <w:r>
        <w:rPr>
          <w:rtl w:val="1"/>
        </w:rPr>
        <w:t>4الاستراتيجية والأنشطة والموارد الانتقالية</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شرح كيف تؤثر الأمور الجوية المادية على نموذج الأعمال، سلسلة القيمة، عملية صنع القرار وتخصيص الموارد.</w:t>
            </w:r>
          </w:p>
        </w:tc>
      </w:tr>
    </w:tbl>
    <w:p>
      <w:pPr>
        <w:spacing w:after="0"/>
      </w:pPr>
    </w:p>
    <w:p>
      <w:pPr>
        <w:pStyle w:val="Heading2"/>
        <w:bidi w:val="1"/>
      </w:pPr>
      <w:r>
        <w:rPr>
          <w:rtl w:val="1"/>
        </w:rPr>
        <w:t>4.1 نموذج الأعمال وتأثيرات سلسلة القيمة</w:t>
      </w:r>
    </w:p>
    <w:p>
      <w:pPr>
        <w:spacing w:before="0" w:after="80" w:line="269" w:lineRule="auto"/>
        <w:bidi w:val="1"/>
      </w:pPr>
      <w:r>
        <w:rPr>
          <w:rFonts w:ascii="Lato" w:hAnsi="Lato" w:eastAsia="Lato"/>
          <w:i w:val="0"/>
          <w:color w:val="26384A"/>
          <w:sz w:val="19"/>
          <w:rtl w:val="1"/>
        </w:rPr>
        <w:t>[إدخال: المنتجات والخدمات والأصول والأسواق والموردين والعملاء والتمويل والدعائم المتضررة.]</w:t>
      </w:r>
    </w:p>
    <w:p>
      <w:pPr>
        <w:pStyle w:val="Heading2"/>
        <w:bidi w:val="1"/>
      </w:pPr>
      <w:r>
        <w:rPr>
          <w:rtl w:val="1"/>
        </w:rPr>
        <w:t>4.2 الاستجابة الاستراتيجية</w:t>
      </w:r>
    </w:p>
    <w:p>
      <w:pPr>
        <w:spacing w:before="0" w:after="80" w:line="269" w:lineRule="auto"/>
        <w:bidi w:val="1"/>
      </w:pPr>
      <w:r>
        <w:rPr>
          <w:rFonts w:ascii="Lato" w:hAnsi="Lato" w:eastAsia="Lato"/>
          <w:i w:val="0"/>
          <w:color w:val="26384A"/>
          <w:sz w:val="19"/>
          <w:rtl w:val="1"/>
        </w:rPr>
        <w:t>[إدخال: الإجراءات، والتنازلات، التخفيف المباشر/المباشر، والتكيف، والفرص، وتغييرات الاستراتيجية والتقدم.]</w:t>
      </w:r>
    </w:p>
    <w:p>
      <w:pPr>
        <w:pStyle w:val="Heading2"/>
        <w:bidi w:val="1"/>
      </w:pPr>
      <w:r>
        <w:rPr>
          <w:rtl w:val="1"/>
        </w:rPr>
        <w:t>4.3 خطة انتقالية حيث يوجد واحد</w:t>
      </w:r>
    </w:p>
    <w:p>
      <w:pPr>
        <w:spacing w:before="0" w:after="80" w:line="269" w:lineRule="auto"/>
        <w:bidi w:val="1"/>
      </w:pPr>
      <w:r>
        <w:rPr>
          <w:rFonts w:ascii="Lato" w:hAnsi="Lato" w:eastAsia="Lato"/>
          <w:i w:val="0"/>
          <w:color w:val="26384A"/>
          <w:sz w:val="19"/>
          <w:rtl w:val="1"/>
        </w:rPr>
        <w:t>[إدخال: وضع الخطة والهدف والأهداف والإجراءات والموارد والمفتاحات والاعتمادات والحوكمة والتقدم. إدعي بوضوح إذا لم تكن هناك خطة رسمية.]</w:t>
      </w:r>
    </w:p>
    <w:p>
      <w:pPr>
        <w:pStyle w:val="Heading2"/>
        <w:bidi w:val="1"/>
      </w:pPr>
      <w:r>
        <w:rPr>
          <w:rtl w:val="1"/>
        </w:rPr>
        <w:t>4.4 الموارد ونشر رأس المال</w:t>
      </w:r>
    </w:p>
    <w:p>
      <w:pPr>
        <w:spacing w:before="0" w:after="80" w:line="269" w:lineRule="auto"/>
        <w:bidi w:val="1"/>
      </w:pPr>
      <w:r>
        <w:rPr>
          <w:rFonts w:ascii="Lato" w:hAnsi="Lato" w:eastAsia="Lato"/>
          <w:i w:val="0"/>
          <w:color w:val="26384A"/>
          <w:sz w:val="19"/>
          <w:rtl w:val="1"/>
        </w:rPr>
        <w:t>[إدخال: المبلغ المنفق، والمتعهد، والموافقة عليه، والخطط المتخذة والتطلعات؛ مصدر التمويل؛ الفترة؛ الشروط؛ الاعتمادات.]</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الإجراءات والموارد المنسقة مع تمويل الخطط.</w:t>
      </w:r>
    </w:p>
    <w:p>
      <w:pPr>
        <w:pStyle w:val="ListBullet"/>
        <w:spacing w:before="0" w:after="60" w:line="259" w:lineRule="auto"/>
        <w:bidi w:val="1"/>
      </w:pPr>
      <w:r>
        <w:rPr>
          <w:rFonts w:ascii="Lato" w:hAnsi="Lato" w:eastAsia="Lato"/>
          <w:color w:val="26384A"/>
          <w:sz w:val="19"/>
          <w:rtl w:val="1"/>
        </w:rPr>
        <w:t>☐ المطالبات في خطة الانتقال تتطابق مع الخطة المعتمدة.</w:t>
      </w:r>
    </w:p>
    <w:p>
      <w:pPr>
        <w:pStyle w:val="ListBullet"/>
        <w:spacing w:before="0" w:after="60" w:line="259" w:lineRule="auto"/>
        <w:bidi w:val="1"/>
      </w:pPr>
      <w:r>
        <w:rPr>
          <w:rFonts w:ascii="Lato" w:hAnsi="Lato" w:eastAsia="Lato"/>
          <w:color w:val="26384A"/>
          <w:sz w:val="19"/>
          <w:rtl w:val="1"/>
        </w:rPr>
        <w:t>☐ التبعيات والشروط واضحة.</w:t>
      </w:r>
    </w:p>
    <w:p>
      <w:pPr>
        <w:pStyle w:val="ListBullet"/>
        <w:spacing w:before="0" w:after="60" w:line="259" w:lineRule="auto"/>
        <w:bidi w:val="1"/>
      </w:pPr>
      <w:r>
        <w:rPr>
          <w:rFonts w:ascii="Lato" w:hAnsi="Lato" w:eastAsia="Lato"/>
          <w:color w:val="26384A"/>
          <w:sz w:val="19"/>
          <w:rtl w:val="1"/>
        </w:rPr>
        <w:t>☐ التقدم يتضمن تأخيرات وتغييرات.</w:t>
      </w:r>
    </w:p>
    <w:p>
      <w:pPr>
        <w:pStyle w:val="Heading1"/>
        <w:bidi w:val="1"/>
      </w:pPr>
      <w:r>
        <w:rPr>
          <w:rtl w:val="1"/>
        </w:rPr>
        <w:t>5تحليل سيناريوهات ومواجهة المناخ</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شرح طريقة سيناريوهات متناسبة وتقييم متوازن للاضعف وقدرة التكيف.</w:t>
            </w:r>
          </w:p>
        </w:tc>
      </w:tr>
    </w:tbl>
    <w:p>
      <w:pPr>
        <w:spacing w:after="0"/>
      </w:pPr>
    </w:p>
    <w:p>
      <w:pPr>
        <w:pStyle w:val="Heading2"/>
        <w:bidi w:val="1"/>
      </w:pPr>
      <w:r>
        <w:rPr>
          <w:rtl w:val="1"/>
        </w:rPr>
        <w:t>5.1 الطريقة والطاق</w:t>
      </w:r>
    </w:p>
    <w:p>
      <w:pPr>
        <w:spacing w:before="0" w:after="80" w:line="269" w:lineRule="auto"/>
        <w:bidi w:val="1"/>
      </w:pPr>
      <w:r>
        <w:rPr>
          <w:rFonts w:ascii="Lato" w:hAnsi="Lato" w:eastAsia="Lato"/>
          <w:i w:val="0"/>
          <w:color w:val="26384A"/>
          <w:sz w:val="19"/>
          <w:rtl w:val="1"/>
        </w:rPr>
        <w:t>[إدخال: الغرض؛ المخاطر/فرص ماديّة؛ مصادر/نسخة سيناريوهات؛ مسارات المادية والانتقالية؛ الجغرافيا/الأصول/المحافظيات؛ الأفق الزمني؛ الطريقة النوعية/كمية.]</w:t>
      </w:r>
    </w:p>
    <w:p>
      <w:pPr>
        <w:pStyle w:val="Heading2"/>
        <w:bidi w:val="1"/>
      </w:pPr>
      <w:r>
        <w:rPr>
          <w:rtl w:val="1"/>
        </w:rPr>
        <w:t>5.2 الافتراضات والقيود</w:t>
      </w:r>
    </w:p>
    <w:p>
      <w:pPr>
        <w:spacing w:before="0" w:after="80" w:line="269" w:lineRule="auto"/>
        <w:bidi w:val="1"/>
      </w:pPr>
      <w:r>
        <w:rPr>
          <w:rFonts w:ascii="Lato" w:hAnsi="Lato" w:eastAsia="Lato"/>
          <w:i w:val="0"/>
          <w:color w:val="26384A"/>
          <w:sz w:val="19"/>
          <w:rtl w:val="1"/>
        </w:rPr>
        <w:t>[إدخال: درجة الحرارة، السياسة، التكنولوجيا، الطلب، السعر، الخطر، الافتراضات المالية؛ الاستبعادات؛ قيود البيانات؛ عدم اليقين في النموذج.]</w:t>
      </w:r>
    </w:p>
    <w:p>
      <w:pPr>
        <w:pStyle w:val="Heading2"/>
        <w:bidi w:val="1"/>
      </w:pPr>
      <w:r>
        <w:rPr>
          <w:rtl w:val="1"/>
        </w:rPr>
        <w:t>5.3 النتائج واستخدام القرار</w:t>
      </w:r>
    </w:p>
    <w:p>
      <w:pPr>
        <w:spacing w:before="0" w:after="80" w:line="269" w:lineRule="auto"/>
        <w:bidi w:val="1"/>
      </w:pPr>
      <w:r>
        <w:rPr>
          <w:rFonts w:ascii="Lato" w:hAnsi="Lato" w:eastAsia="Lato"/>
          <w:i w:val="0"/>
          <w:color w:val="26384A"/>
          <w:sz w:val="19"/>
          <w:rtl w:val="1"/>
        </w:rPr>
        <w:t>[إدخال: نقاط الضعف والحساسية والفرص والحدود والخطط الاستراتيجية/المستوى المختلف/قرارات المخاطر والتغييرات.]</w:t>
      </w:r>
    </w:p>
    <w:p>
      <w:pPr>
        <w:pStyle w:val="Heading2"/>
        <w:bidi w:val="1"/>
      </w:pPr>
      <w:r>
        <w:rPr>
          <w:rtl w:val="1"/>
        </w:rPr>
        <w:t>5.4 القدرة على التكيف</w:t>
      </w:r>
    </w:p>
    <w:p>
      <w:pPr>
        <w:spacing w:before="0" w:after="80" w:line="269" w:lineRule="auto"/>
        <w:bidi w:val="1"/>
      </w:pPr>
      <w:r>
        <w:rPr>
          <w:rFonts w:ascii="Lato" w:hAnsi="Lato" w:eastAsia="Lato"/>
          <w:i w:val="0"/>
          <w:color w:val="26384A"/>
          <w:sz w:val="19"/>
          <w:rtl w:val="1"/>
        </w:rPr>
        <w:t>[إدخال: خيارات استراتيجية؛ مرونة الأصول؛ القدرة المالية؛ التمويل؛ أوقات القيادة؛ الاعتمادات؛ محفزات القرار؛ المستوى المتبقية من التعرض؛ عدم اليقين.]</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مصدر السيناريو والإصدار مسيطرة.</w:t>
      </w:r>
    </w:p>
    <w:p>
      <w:pPr>
        <w:pStyle w:val="ListBullet"/>
        <w:spacing w:before="0" w:after="60" w:line="259" w:lineRule="auto"/>
        <w:bidi w:val="1"/>
      </w:pPr>
      <w:r>
        <w:rPr>
          <w:rFonts w:ascii="Lato" w:hAnsi="Lato" w:eastAsia="Lato"/>
          <w:color w:val="26384A"/>
          <w:sz w:val="19"/>
          <w:rtl w:val="1"/>
        </w:rPr>
        <w:t>☐ الافتراضات المتوافقة مع التخطيط المالي.</w:t>
      </w:r>
    </w:p>
    <w:p>
      <w:pPr>
        <w:pStyle w:val="ListBullet"/>
        <w:spacing w:before="0" w:after="60" w:line="259" w:lineRule="auto"/>
        <w:bidi w:val="1"/>
      </w:pPr>
      <w:r>
        <w:rPr>
          <w:rFonts w:ascii="Lato" w:hAnsi="Lato" w:eastAsia="Lato"/>
          <w:color w:val="26384A"/>
          <w:sz w:val="19"/>
          <w:rtl w:val="1"/>
        </w:rPr>
        <w:t>☐ تحدي الحكم مسجل.</w:t>
      </w:r>
    </w:p>
    <w:p>
      <w:pPr>
        <w:pStyle w:val="ListBullet"/>
        <w:spacing w:before="0" w:after="60" w:line="259" w:lineRule="auto"/>
        <w:bidi w:val="1"/>
      </w:pPr>
      <w:r>
        <w:rPr>
          <w:rFonts w:ascii="Lato" w:hAnsi="Lato" w:eastAsia="Lato"/>
          <w:color w:val="26384A"/>
          <w:sz w:val="19"/>
          <w:rtl w:val="1"/>
        </w:rPr>
        <w:t>☐ صياغة الصمود تتجنب اليقين غير المدعوم.</w:t>
      </w:r>
    </w:p>
    <w:p>
      <w:pPr>
        <w:pStyle w:val="Heading1"/>
        <w:bidi w:val="1"/>
      </w:pPr>
      <w:r>
        <w:rPr>
          <w:rtl w:val="1"/>
        </w:rPr>
        <w:t>6الآثار المالية الحالية والمتوقعة</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ربط كل مسألة جوية مهمة بالآثار الحالية والمتوقعة على الوضع المالي والأداء وتدفقات النقدية.</w:t>
            </w:r>
          </w:p>
        </w:tc>
      </w:tr>
    </w:tbl>
    <w:p>
      <w:pPr>
        <w:spacing w:after="0"/>
      </w:pPr>
    </w:p>
    <w:p>
      <w:pPr>
        <w:pStyle w:val="Heading2"/>
        <w:bidi w:val="1"/>
      </w:pPr>
      <w:r>
        <w:rPr>
          <w:rtl w:val="1"/>
        </w:rPr>
        <w:t>6.1 جسر المالية</w:t>
      </w:r>
    </w:p>
    <w:p>
      <w:pPr>
        <w:spacing w:before="0" w:after="80" w:line="269" w:lineRule="auto"/>
        <w:bidi w:val="1"/>
      </w:pPr>
      <w:r>
        <w:rPr>
          <w:rFonts w:ascii="Lato" w:hAnsi="Lato" w:eastAsia="Lato"/>
          <w:i w:val="0"/>
          <w:color w:val="26384A"/>
          <w:sz w:val="19"/>
          <w:rtl w:val="1"/>
        </w:rPr>
        <w:t>[جداول: مسألة المناخ؛ الجاري/ المتوقع؛ الإيرادات؛ التكاليف؛ الأصول؛ الخصومات؛ تدفقات النقد؛ التمويل؛ الرسوم المالي؛ الأفق الزمني؛ الكمية/المدى/الجودة؛ الافتراضات؛ البنود المتضررة من الصفحة المالية.]</w:t>
      </w:r>
    </w:p>
    <w:p>
      <w:pPr>
        <w:pStyle w:val="Heading2"/>
        <w:bidi w:val="1"/>
      </w:pPr>
      <w:r>
        <w:rPr>
          <w:rtl w:val="1"/>
        </w:rPr>
        <w:t>6.2 العلاج الكمي</w:t>
      </w:r>
    </w:p>
    <w:p>
      <w:pPr>
        <w:spacing w:before="0" w:after="80" w:line="269" w:lineRule="auto"/>
        <w:bidi w:val="1"/>
      </w:pPr>
      <w:r>
        <w:rPr>
          <w:rFonts w:ascii="Lato" w:hAnsi="Lato" w:eastAsia="Lato"/>
          <w:i w:val="0"/>
          <w:color w:val="26384A"/>
          <w:sz w:val="19"/>
          <w:rtl w:val="1"/>
        </w:rPr>
        <w:t>[إدخال: مبالغ فردية أو نطاقات أو نسبة مئوية؛ تعريفات المسمّين؛ معلومات مزدوجة؛ مراقبة الحساب المزدوج.]</w:t>
      </w:r>
    </w:p>
    <w:p>
      <w:pPr>
        <w:pStyle w:val="Heading2"/>
        <w:bidi w:val="1"/>
      </w:pPr>
      <w:r>
        <w:rPr>
          <w:rtl w:val="1"/>
        </w:rPr>
        <w:t>6.3 العلاج الجودي أو الإغاثة</w:t>
      </w:r>
    </w:p>
    <w:p>
      <w:pPr>
        <w:spacing w:before="0" w:after="80" w:line="269" w:lineRule="auto"/>
        <w:bidi w:val="1"/>
      </w:pPr>
      <w:r>
        <w:rPr>
          <w:rFonts w:ascii="Lato" w:hAnsi="Lato" w:eastAsia="Lato"/>
          <w:i w:val="0"/>
          <w:color w:val="26384A"/>
          <w:sz w:val="19"/>
          <w:rtl w:val="1"/>
        </w:rPr>
        <w:t>[إدخال: لماذا لا يكون الكميات المفردة مفيدة في الظروف المحددة؛ عناصر الخط المتأثرة؛ استبدال المعلومات النوعية والمجتمعية.]</w:t>
      </w:r>
    </w:p>
    <w:p>
      <w:pPr>
        <w:pStyle w:val="Heading2"/>
        <w:bidi w:val="1"/>
      </w:pPr>
      <w:r>
        <w:rPr>
          <w:rtl w:val="1"/>
        </w:rPr>
        <w:t>6.4 التماسك وعدم اليقين</w:t>
      </w:r>
    </w:p>
    <w:p>
      <w:pPr>
        <w:spacing w:before="0" w:after="80" w:line="269" w:lineRule="auto"/>
        <w:bidi w:val="1"/>
      </w:pPr>
      <w:r>
        <w:rPr>
          <w:rFonts w:ascii="Lato" w:hAnsi="Lato" w:eastAsia="Lato"/>
          <w:i w:val="0"/>
          <w:color w:val="26384A"/>
          <w:sz w:val="19"/>
          <w:rtl w:val="1"/>
        </w:rPr>
        <w:t>[إدخال: التوفيق مع البيانات المالية والميزانيات والتنبؤات والسيناريوهات؛ اختلافات أساس القياس؛ الحساسية؛ عدم اليقين والقيود.]</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تحدي المدير المالي قد اكتمل.</w:t>
      </w:r>
    </w:p>
    <w:p>
      <w:pPr>
        <w:pStyle w:val="ListBullet"/>
        <w:spacing w:before="0" w:after="60" w:line="259" w:lineRule="auto"/>
        <w:bidi w:val="1"/>
      </w:pPr>
      <w:r>
        <w:rPr>
          <w:rFonts w:ascii="Lato" w:hAnsi="Lato" w:eastAsia="Lato"/>
          <w:color w:val="26384A"/>
          <w:sz w:val="19"/>
          <w:rtl w:val="1"/>
        </w:rPr>
        <w:t>☐ تم الاحتفاظ بخطوطات المقاطع.</w:t>
      </w:r>
    </w:p>
    <w:p>
      <w:pPr>
        <w:pStyle w:val="ListBullet"/>
        <w:spacing w:before="0" w:after="60" w:line="259" w:lineRule="auto"/>
        <w:bidi w:val="1"/>
      </w:pPr>
      <w:r>
        <w:rPr>
          <w:rFonts w:ascii="Lato" w:hAnsi="Lato" w:eastAsia="Lato"/>
          <w:color w:val="26384A"/>
          <w:sz w:val="19"/>
          <w:rtl w:val="1"/>
        </w:rPr>
        <w:t>☐ الكميات/المناطق قابلة للتكرار.</w:t>
      </w:r>
    </w:p>
    <w:p>
      <w:pPr>
        <w:pStyle w:val="ListBullet"/>
        <w:spacing w:before="0" w:after="60" w:line="259" w:lineRule="auto"/>
        <w:bidi w:val="1"/>
      </w:pPr>
      <w:r>
        <w:rPr>
          <w:rFonts w:ascii="Lato" w:hAnsi="Lato" w:eastAsia="Lato"/>
          <w:color w:val="26384A"/>
          <w:sz w:val="19"/>
          <w:rtl w:val="1"/>
        </w:rPr>
        <w:t>☐ أي علاج نوعي تمت الموافقة عليه بموجب المعايير الدقيقة.</w:t>
      </w:r>
    </w:p>
    <w:p>
      <w:pPr>
        <w:pStyle w:val="Heading1"/>
        <w:bidi w:val="1"/>
      </w:pPr>
      <w:r>
        <w:rPr>
          <w:rtl w:val="1"/>
        </w:rPr>
        <w:t>7إدارة المخاطر</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وصف العمليات المحددة للمناخ وأدلة على دمجها في إدارة المخاطر العامة.</w:t>
            </w:r>
          </w:p>
        </w:tc>
      </w:tr>
    </w:tbl>
    <w:p>
      <w:pPr>
        <w:spacing w:after="0"/>
      </w:pPr>
    </w:p>
    <w:p>
      <w:pPr>
        <w:pStyle w:val="Heading2"/>
        <w:bidi w:val="1"/>
      </w:pPr>
      <w:r>
        <w:rPr>
          <w:rtl w:val="1"/>
        </w:rPr>
        <w:t>7.1 تحديد وتقييم</w:t>
      </w:r>
    </w:p>
    <w:p>
      <w:pPr>
        <w:spacing w:before="0" w:after="80" w:line="269" w:lineRule="auto"/>
        <w:bidi w:val="1"/>
      </w:pPr>
      <w:r>
        <w:rPr>
          <w:rFonts w:ascii="Lato" w:hAnsi="Lato" w:eastAsia="Lato"/>
          <w:i w:val="0"/>
          <w:color w:val="26384A"/>
          <w:sz w:val="19"/>
          <w:rtl w:val="1"/>
        </w:rPr>
        <w:t>[إدخال: عملية، مدخلات، مصادر البيانات، استخدام السيناريوهات، احتمال/حجم، تقييم الضعف والفرص.]</w:t>
      </w:r>
    </w:p>
    <w:p>
      <w:pPr>
        <w:pStyle w:val="Heading2"/>
        <w:bidi w:val="1"/>
      </w:pPr>
      <w:r>
        <w:rPr>
          <w:rtl w:val="1"/>
        </w:rPr>
        <w:t>7.2 الأولويات والرصد</w:t>
      </w:r>
    </w:p>
    <w:p>
      <w:pPr>
        <w:spacing w:before="0" w:after="80" w:line="269" w:lineRule="auto"/>
        <w:bidi w:val="1"/>
      </w:pPr>
      <w:r>
        <w:rPr>
          <w:rFonts w:ascii="Lato" w:hAnsi="Lato" w:eastAsia="Lato"/>
          <w:i w:val="0"/>
          <w:color w:val="26384A"/>
          <w:sz w:val="19"/>
          <w:rtl w:val="1"/>
        </w:rPr>
        <w:t>[إدخال: العدوان، شهية المخاطر، المقارنة مع المخاطر الأخرى، أصحابها، المؤشرات، المحفزات والتصعيد.]</w:t>
      </w:r>
    </w:p>
    <w:p>
      <w:pPr>
        <w:pStyle w:val="Heading2"/>
        <w:bidi w:val="1"/>
      </w:pPr>
      <w:r>
        <w:rPr>
          <w:rtl w:val="1"/>
        </w:rPr>
        <w:t>7.3 تكامل و تغييرات في إرم</w:t>
      </w:r>
    </w:p>
    <w:p>
      <w:pPr>
        <w:spacing w:before="0" w:after="80" w:line="269" w:lineRule="auto"/>
        <w:bidi w:val="1"/>
      </w:pPr>
      <w:r>
        <w:rPr>
          <w:rFonts w:ascii="Lato" w:hAnsi="Lato" w:eastAsia="Lato"/>
          <w:i w:val="0"/>
          <w:color w:val="26384A"/>
          <w:sz w:val="19"/>
          <w:rtl w:val="1"/>
        </w:rPr>
        <w:t>[إدخال: تصنيف/نظام مشترك؛ تدفق اللجان؛ القرارات؛ التغييرات عن الفترة السابقة؛ الاختلافات بين عمليات المخاطر والفرص.]</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سجلات نظام ERM تدعم السرد.</w:t>
      </w:r>
    </w:p>
    <w:p>
      <w:pPr>
        <w:pStyle w:val="ListBullet"/>
        <w:spacing w:before="0" w:after="60" w:line="259" w:lineRule="auto"/>
        <w:bidi w:val="1"/>
      </w:pPr>
      <w:r>
        <w:rPr>
          <w:rFonts w:ascii="Lato" w:hAnsi="Lato" w:eastAsia="Lato"/>
          <w:color w:val="26384A"/>
          <w:sz w:val="19"/>
          <w:rtl w:val="1"/>
        </w:rPr>
        <w:t>☐ التركيز الأولوي على المخاطر الأخرى واضح.</w:t>
      </w:r>
    </w:p>
    <w:p>
      <w:pPr>
        <w:pStyle w:val="ListBullet"/>
        <w:spacing w:before="0" w:after="60" w:line="259" w:lineRule="auto"/>
        <w:bidi w:val="1"/>
      </w:pPr>
      <w:r>
        <w:rPr>
          <w:rFonts w:ascii="Lato" w:hAnsi="Lato" w:eastAsia="Lato"/>
          <w:color w:val="26384A"/>
          <w:sz w:val="19"/>
          <w:rtl w:val="1"/>
        </w:rPr>
        <w:t>☐ عملية الفرص تُسيطر.</w:t>
      </w:r>
    </w:p>
    <w:p>
      <w:pPr>
        <w:pStyle w:val="ListBullet"/>
        <w:spacing w:before="0" w:after="60" w:line="259" w:lineRule="auto"/>
        <w:bidi w:val="1"/>
      </w:pPr>
      <w:r>
        <w:rPr>
          <w:rFonts w:ascii="Lato" w:hAnsi="Lato" w:eastAsia="Lato"/>
          <w:color w:val="26384A"/>
          <w:sz w:val="19"/>
          <w:rtl w:val="1"/>
        </w:rPr>
        <w:t>☐ التغييرات مُوثقة.</w:t>
      </w:r>
    </w:p>
    <w:p>
      <w:pPr>
        <w:pStyle w:val="Heading1"/>
        <w:bidi w:val="1"/>
      </w:pPr>
      <w:r>
        <w:rPr>
          <w:rtl w:val="1"/>
        </w:rPr>
        <w:t>8- مقاييس المناخ والهدف</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عرض المعايير المتعددة الصناعات والصناعة والكيانات الخاصة بها مع الأساليب والمقارنات والأداء المستهدف.</w:t>
            </w:r>
          </w:p>
        </w:tc>
      </w:tr>
    </w:tbl>
    <w:p>
      <w:pPr>
        <w:spacing w:after="0"/>
      </w:pPr>
    </w:p>
    <w:p>
      <w:pPr>
        <w:pStyle w:val="Heading2"/>
        <w:bidi w:val="1"/>
      </w:pPr>
      <w:r>
        <w:rPr>
          <w:rtl w:val="1"/>
        </w:rPr>
        <w:t>8.1 جدول المقاييس</w:t>
      </w:r>
    </w:p>
    <w:p>
      <w:pPr>
        <w:spacing w:before="0" w:after="80" w:line="269" w:lineRule="auto"/>
        <w:bidi w:val="1"/>
      </w:pPr>
      <w:r>
        <w:rPr>
          <w:rFonts w:ascii="Lato" w:hAnsi="Lato" w:eastAsia="Lato"/>
          <w:i w:val="0"/>
          <w:color w:val="26384A"/>
          <w:sz w:val="19"/>
          <w:rtl w:val="1"/>
        </w:rPr>
        <w:t>[إدخال: GHG; تعرض للمخاطر الانتقالية؛ التعرض للمخاطرة المادية؛ الفرص؛ تنفيذ رأس المال؛ سعر الكربون الداخلي؛ الأجوبة؛ المعايير القائمة على الصناعة؛ المعايرات الخاصة بالشركة.]</w:t>
      </w:r>
    </w:p>
    <w:p>
      <w:pPr>
        <w:pStyle w:val="Heading2"/>
        <w:bidi w:val="1"/>
      </w:pPr>
      <w:r>
        <w:rPr>
          <w:rtl w:val="1"/>
        </w:rPr>
        <w:t>8.2 الأساليب والتقديرات</w:t>
      </w:r>
    </w:p>
    <w:p>
      <w:pPr>
        <w:spacing w:before="0" w:after="80" w:line="269" w:lineRule="auto"/>
        <w:bidi w:val="1"/>
      </w:pPr>
      <w:r>
        <w:rPr>
          <w:rFonts w:ascii="Lato" w:hAnsi="Lato" w:eastAsia="Lato"/>
          <w:i w:val="0"/>
          <w:color w:val="26384A"/>
          <w:sz w:val="19"/>
          <w:rtl w:val="1"/>
        </w:rPr>
        <w:t>[إدخال: تعريف وحدة وصيغة وحدود وفترة ومصدر افتراضات وتقديرات وقيود تغييرات وعلاج مقارن.]</w:t>
      </w:r>
    </w:p>
    <w:p>
      <w:pPr>
        <w:pStyle w:val="Heading2"/>
        <w:bidi w:val="1"/>
      </w:pPr>
      <w:r>
        <w:rPr>
          <w:rtl w:val="1"/>
        </w:rPr>
        <w:t>8.3 معلومات الصناعة</w:t>
      </w:r>
    </w:p>
    <w:p>
      <w:pPr>
        <w:spacing w:before="0" w:after="80" w:line="269" w:lineRule="auto"/>
        <w:bidi w:val="1"/>
      </w:pPr>
      <w:r>
        <w:rPr>
          <w:rFonts w:ascii="Lato" w:hAnsi="Lato" w:eastAsia="Lato"/>
          <w:i w:val="0"/>
          <w:color w:val="26384A"/>
          <w:sz w:val="19"/>
          <w:rtl w:val="1"/>
        </w:rPr>
        <w:t>[إدخال: الصناعات المحددة؛ المصادر التي تم النظر فيها واستخدامها؛ المعايير المختارة/المعدلة/المطورة من قبل الكيان؛ سبب عدم استخدامها.]</w:t>
      </w:r>
    </w:p>
    <w:p>
      <w:pPr>
        <w:pStyle w:val="Heading2"/>
        <w:bidi w:val="1"/>
      </w:pPr>
      <w:r>
        <w:rPr>
          <w:rtl w:val="1"/>
        </w:rPr>
        <w:t>8.4 الأهداف والأداء</w:t>
      </w:r>
    </w:p>
    <w:p>
      <w:pPr>
        <w:spacing w:before="0" w:after="80" w:line="269" w:lineRule="auto"/>
        <w:bidi w:val="1"/>
      </w:pPr>
      <w:r>
        <w:rPr>
          <w:rFonts w:ascii="Lato" w:hAnsi="Lato" w:eastAsia="Lato"/>
          <w:i w:val="0"/>
          <w:color w:val="26384A"/>
          <w:sz w:val="19"/>
          <w:rtl w:val="1"/>
        </w:rPr>
        <w:t>[إدخال: الوضع القانوني / الطوعي ؛ هدف ؛ مقياس ؛ نطاق ؛ فترة أساسية ؛ فترة هدفة ؛ خطوات قياسية ؛ مطلقة / كثافة ؛ إجمالي / صافي ؛ تصحيح ؛ مراجعات ؛ الأداء الفعلي ؛ خطوات مهمة مفقودة والرد.]</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قاموس البيانات المعتمد.</w:t>
      </w:r>
    </w:p>
    <w:p>
      <w:pPr>
        <w:pStyle w:val="ListBullet"/>
        <w:spacing w:before="0" w:after="60" w:line="259" w:lineRule="auto"/>
        <w:bidi w:val="1"/>
      </w:pPr>
      <w:r>
        <w:rPr>
          <w:rFonts w:ascii="Lato" w:hAnsi="Lato" w:eastAsia="Lato"/>
          <w:color w:val="26384A"/>
          <w:sz w:val="19"/>
          <w:rtl w:val="1"/>
        </w:rPr>
        <w:t>☐ بيان المصدر/الصناعة كامل.</w:t>
      </w:r>
    </w:p>
    <w:p>
      <w:pPr>
        <w:pStyle w:val="ListBullet"/>
        <w:spacing w:before="0" w:after="60" w:line="259" w:lineRule="auto"/>
        <w:bidi w:val="1"/>
      </w:pPr>
      <w:r>
        <w:rPr>
          <w:rFonts w:ascii="Lato" w:hAnsi="Lato" w:eastAsia="Lato"/>
          <w:color w:val="26384A"/>
          <w:sz w:val="19"/>
          <w:rtl w:val="1"/>
        </w:rPr>
        <w:t>☐ حدود الهدف تم التوفيق بينها</w:t>
      </w:r>
    </w:p>
    <w:p>
      <w:pPr>
        <w:pStyle w:val="ListBullet"/>
        <w:spacing w:before="0" w:after="60" w:line="259" w:lineRule="auto"/>
        <w:bidi w:val="1"/>
      </w:pPr>
      <w:r>
        <w:rPr>
          <w:rFonts w:ascii="Lato" w:hAnsi="Lato" w:eastAsia="Lato"/>
          <w:color w:val="26384A"/>
          <w:sz w:val="19"/>
          <w:rtl w:val="1"/>
        </w:rPr>
        <w:t>☐ أداء وتحديثات تم مراجعتها بشكل مستقل.</w:t>
      </w:r>
    </w:p>
    <w:p>
      <w:pPr>
        <w:pStyle w:val="Heading1"/>
        <w:bidi w:val="1"/>
      </w:pPr>
      <w:r>
        <w:rPr>
          <w:rtl w:val="1"/>
        </w:rPr>
        <w:t>9. GHG الانبعاثات والانبعاثيات الممولة</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توفير مخزون صافي شفاف ومعلومات بشأن الانبعاثات الممولة دون تسجيل ائتمانات الكربون.</w:t>
            </w:r>
          </w:p>
        </w:tc>
      </w:tr>
    </w:tbl>
    <w:p>
      <w:pPr>
        <w:spacing w:after="0"/>
      </w:pPr>
    </w:p>
    <w:p>
      <w:pPr>
        <w:pStyle w:val="Heading2"/>
        <w:bidi w:val="1"/>
      </w:pPr>
      <w:r>
        <w:rPr>
          <w:rtl w:val="1"/>
        </w:rPr>
        <w:t>9.1 GHG الطاولة</w:t>
      </w:r>
    </w:p>
    <w:p>
      <w:pPr>
        <w:spacing w:before="0" w:after="80" w:line="269" w:lineRule="auto"/>
        <w:bidi w:val="1"/>
      </w:pPr>
      <w:r>
        <w:rPr>
          <w:rFonts w:ascii="Lato" w:hAnsi="Lato" w:eastAsia="Lato"/>
          <w:i w:val="0"/>
          <w:color w:val="26384A"/>
          <w:sz w:val="19"/>
          <w:rtl w:val="1"/>
        </w:rPr>
        <w:t>[إدخال: نطاق إجمالي مطلق] 1، نطاق 2 الموقع والمقصود 3؛ طن CO2e; مجموعة مؤكدة/انقسامات أخرى للمصلحة التي يتم استثمارها؛ مقارنات.]</w:t>
      </w:r>
    </w:p>
    <w:p>
      <w:pPr>
        <w:pStyle w:val="Heading2"/>
        <w:bidi w:val="1"/>
      </w:pPr>
      <w:r>
        <w:rPr>
          <w:rtl w:val="1"/>
        </w:rPr>
        <w:t>9.2 الحدود والطريقة التنظيمية</w:t>
      </w:r>
    </w:p>
    <w:p>
      <w:pPr>
        <w:spacing w:before="0" w:after="80" w:line="269" w:lineRule="auto"/>
        <w:bidi w:val="1"/>
      </w:pPr>
      <w:r>
        <w:rPr>
          <w:rFonts w:ascii="Lato" w:hAnsi="Lato" w:eastAsia="Lato"/>
          <w:i w:val="0"/>
          <w:color w:val="26384A"/>
          <w:sz w:val="19"/>
          <w:rtl w:val="1"/>
        </w:rPr>
        <w:t>[إدخال: طريقة التجميد؛ معاملة الشركات التابعة لها، والشركات المرتبطة بها، والمجموعات المشتركة، والتأجيرات، والاستحواذ/التصرفات؛ طريقة الولاية القضائية؛ GHG استخدام البروتوكول.]</w:t>
      </w:r>
    </w:p>
    <w:p>
      <w:pPr>
        <w:pStyle w:val="Heading2"/>
        <w:bidi w:val="1"/>
      </w:pPr>
      <w:r>
        <w:rPr>
          <w:rtl w:val="1"/>
        </w:rPr>
        <w:t>9.3 نطاق العمل 2</w:t>
      </w:r>
    </w:p>
    <w:p>
      <w:pPr>
        <w:spacing w:before="0" w:after="80" w:line="269" w:lineRule="auto"/>
        <w:bidi w:val="1"/>
      </w:pPr>
      <w:r>
        <w:rPr>
          <w:rFonts w:ascii="Lato" w:hAnsi="Lato" w:eastAsia="Lato"/>
          <w:i w:val="0"/>
          <w:color w:val="26384A"/>
          <w:sz w:val="19"/>
          <w:rtl w:val="1"/>
        </w:rPr>
        <w:t>[إدخال: مبلغ يستند إلى الموقع؛ وثائق عقدية؛ عقود/شهادات ومثلة يمكن تجديدها.]</w:t>
      </w:r>
    </w:p>
    <w:p>
      <w:pPr>
        <w:pStyle w:val="Heading2"/>
        <w:bidi w:val="1"/>
      </w:pPr>
      <w:r>
        <w:rPr>
          <w:rtl w:val="1"/>
        </w:rPr>
        <w:t>9.4 نطاق العمل 3</w:t>
      </w:r>
    </w:p>
    <w:p>
      <w:pPr>
        <w:spacing w:before="0" w:after="80" w:line="269" w:lineRule="auto"/>
        <w:bidi w:val="1"/>
      </w:pPr>
      <w:r>
        <w:rPr>
          <w:rFonts w:ascii="Lato" w:hAnsi="Lato" w:eastAsia="Lato"/>
          <w:i w:val="0"/>
          <w:color w:val="26384A"/>
          <w:sz w:val="19"/>
          <w:rtl w:val="1"/>
        </w:rPr>
        <w:t>[إدخال: كل شيء] 15 الفئات المعتبرة؛ الفئات ذات الصلة؛ الطريقة؛ المدخلات؛ البيانات الأساسية/الثانوية؛ التقديرات؛ القيود؛ خطة إعادة التقييم والتحسين.]</w:t>
      </w:r>
    </w:p>
    <w:p>
      <w:pPr>
        <w:pStyle w:val="Heading2"/>
        <w:bidi w:val="1"/>
      </w:pPr>
      <w:r>
        <w:rPr>
          <w:rtl w:val="1"/>
        </w:rPr>
        <w:t>9.5 الانبعاثات الممولة إذا كان ذلك مُطبقًا</w:t>
      </w:r>
    </w:p>
    <w:p>
      <w:pPr>
        <w:spacing w:before="0" w:after="80" w:line="269" w:lineRule="auto"/>
        <w:bidi w:val="1"/>
      </w:pPr>
      <w:r>
        <w:rPr>
          <w:rFonts w:ascii="Lato" w:hAnsi="Lato" w:eastAsia="Lato"/>
          <w:i w:val="0"/>
          <w:color w:val="26384A"/>
          <w:sz w:val="19"/>
          <w:rtl w:val="1"/>
        </w:rPr>
        <w:t>[إدخال: فئات الأصول، المبلغ، القاسم، التغطية، الاستبعادات، تصنيف الصناعة، المنهجية، الافتراضات وتفسير B59A عند استخدامها.]</w:t>
      </w:r>
    </w:p>
    <w:p>
      <w:pPr>
        <w:pStyle w:val="Heading2"/>
        <w:bidi w:val="1"/>
      </w:pPr>
      <w:r>
        <w:rPr>
          <w:rtl w:val="1"/>
        </w:rPr>
        <w:t>9.6 خصيصات الكربون</w:t>
      </w:r>
    </w:p>
    <w:p>
      <w:pPr>
        <w:spacing w:before="0" w:after="80" w:line="269" w:lineRule="auto"/>
        <w:bidi w:val="1"/>
      </w:pPr>
      <w:r>
        <w:rPr>
          <w:rFonts w:ascii="Lato" w:hAnsi="Lato" w:eastAsia="Lato"/>
          <w:i w:val="0"/>
          <w:color w:val="26384A"/>
          <w:sz w:val="19"/>
          <w:rtl w:val="1"/>
        </w:rPr>
        <w:t>[إدخال: الاعتماد المخطط لهذه الأهداف الصافية؛ النظام، النوع، الإزالة/التخفيض، سمات الجودة، التحقق وحالة التقاعد. الحفاظ على المخزون الكلي منفصلًا.]</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GHG الحدود مُصالحة.</w:t>
      </w:r>
    </w:p>
    <w:p>
      <w:pPr>
        <w:pStyle w:val="ListBullet"/>
        <w:spacing w:before="0" w:after="60" w:line="259" w:lineRule="auto"/>
        <w:bidi w:val="1"/>
      </w:pPr>
      <w:r>
        <w:rPr>
          <w:rFonts w:ascii="Lato" w:hAnsi="Lato" w:eastAsia="Lato"/>
          <w:color w:val="26384A"/>
          <w:sz w:val="19"/>
          <w:rtl w:val="1"/>
        </w:rPr>
        <w:t>☐ العوامل والإصدارات GWP المسيطر عليها.</w:t>
      </w:r>
    </w:p>
    <w:p>
      <w:pPr>
        <w:pStyle w:val="ListBullet"/>
        <w:spacing w:before="0" w:after="60" w:line="259" w:lineRule="auto"/>
        <w:bidi w:val="1"/>
      </w:pPr>
      <w:r>
        <w:rPr>
          <w:rFonts w:ascii="Lato" w:hAnsi="Lato" w:eastAsia="Lato"/>
          <w:color w:val="26384A"/>
          <w:sz w:val="19"/>
          <w:rtl w:val="1"/>
        </w:rPr>
        <w:t>☐ نطاق العمل 3 مراجعة الكمال اكتملت.</w:t>
      </w:r>
    </w:p>
    <w:p>
      <w:pPr>
        <w:pStyle w:val="ListBullet"/>
        <w:spacing w:before="0" w:after="60" w:line="259" w:lineRule="auto"/>
        <w:bidi w:val="1"/>
      </w:pPr>
      <w:r>
        <w:rPr>
          <w:rFonts w:ascii="Lato" w:hAnsi="Lato" w:eastAsia="Lato"/>
          <w:color w:val="26384A"/>
          <w:sz w:val="19"/>
          <w:rtl w:val="1"/>
        </w:rPr>
        <w:t>☐ توقيت الإصدارات الممولة و B59A المعتمد.</w:t>
      </w:r>
    </w:p>
    <w:p>
      <w:pPr>
        <w:pStyle w:val="ListBullet"/>
        <w:spacing w:before="0" w:after="60" w:line="259" w:lineRule="auto"/>
        <w:bidi w:val="1"/>
      </w:pPr>
      <w:r>
        <w:rPr>
          <w:rFonts w:ascii="Lato" w:hAnsi="Lato" w:eastAsia="Lato"/>
          <w:color w:val="26384A"/>
          <w:sz w:val="19"/>
          <w:rtl w:val="1"/>
        </w:rPr>
        <w:t>☐ المخزون الإجمالي غير المرتبط.</w:t>
      </w:r>
    </w:p>
    <w:p>
      <w:pPr>
        <w:pStyle w:val="Heading1"/>
        <w:bidi w:val="1"/>
      </w:pPr>
      <w:r>
        <w:rPr>
          <w:rtl w:val="1"/>
        </w:rPr>
        <w:t>10- الأحكام والتقديرات والإجراءات والتغييرات</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جعل القرارات التقنية الهامة وعدم اليقين مرئية.</w:t>
            </w:r>
          </w:p>
        </w:tc>
      </w:tr>
    </w:tbl>
    <w:p>
      <w:pPr>
        <w:spacing w:after="0"/>
      </w:pPr>
    </w:p>
    <w:p>
      <w:pPr>
        <w:pStyle w:val="Heading2"/>
        <w:bidi w:val="1"/>
      </w:pPr>
      <w:r>
        <w:rPr>
          <w:rtl w:val="1"/>
        </w:rPr>
        <w:t>10.1 الأحكام المهمة</w:t>
      </w:r>
    </w:p>
    <w:p>
      <w:pPr>
        <w:spacing w:before="0" w:after="80" w:line="269" w:lineRule="auto"/>
        <w:bidi w:val="1"/>
      </w:pPr>
      <w:r>
        <w:rPr>
          <w:rFonts w:ascii="Lato" w:hAnsi="Lato" w:eastAsia="Lato"/>
          <w:i w:val="0"/>
          <w:color w:val="26384A"/>
          <w:sz w:val="19"/>
          <w:rtl w:val="1"/>
        </w:rPr>
        <w:t>[إدخال: أهمية، حدود، طريقة السيناريو، مصادر الصناعة، معالجة الآثار المالية، قرارات الهدف والتوفر.]</w:t>
      </w:r>
    </w:p>
    <w:p>
      <w:pPr>
        <w:pStyle w:val="Heading2"/>
        <w:bidi w:val="1"/>
      </w:pPr>
      <w:r>
        <w:rPr>
          <w:rtl w:val="1"/>
        </w:rPr>
        <w:t>10.2 عدم اليقين في القياس</w:t>
      </w:r>
    </w:p>
    <w:p>
      <w:pPr>
        <w:spacing w:before="0" w:after="80" w:line="269" w:lineRule="auto"/>
        <w:bidi w:val="1"/>
      </w:pPr>
      <w:r>
        <w:rPr>
          <w:rFonts w:ascii="Lato" w:hAnsi="Lato" w:eastAsia="Lato"/>
          <w:i w:val="0"/>
          <w:color w:val="26384A"/>
          <w:sz w:val="19"/>
          <w:rtl w:val="1"/>
        </w:rPr>
        <w:t>[إدخال: تقديرات المواد، ومناطقها، وقيود النموذج، والحساسية، ونوعية المصدر وتحسن متوقع.]</w:t>
      </w:r>
    </w:p>
    <w:p>
      <w:pPr>
        <w:pStyle w:val="Heading2"/>
        <w:bidi w:val="1"/>
      </w:pPr>
      <w:r>
        <w:rPr>
          <w:rtl w:val="1"/>
        </w:rPr>
        <w:t>10.3 التغييرات والخطأ</w:t>
      </w:r>
    </w:p>
    <w:p>
      <w:pPr>
        <w:spacing w:before="0" w:after="80" w:line="269" w:lineRule="auto"/>
        <w:bidi w:val="1"/>
      </w:pPr>
      <w:r>
        <w:rPr>
          <w:rFonts w:ascii="Lato" w:hAnsi="Lato" w:eastAsia="Lato"/>
          <w:i w:val="0"/>
          <w:color w:val="26384A"/>
          <w:sz w:val="19"/>
          <w:rtl w:val="1"/>
        </w:rPr>
        <w:t>[إدخال: المنهجية، التقديرات، الحدود، العاملة، الهدف، التحديث المقارن أو الخطأ؛ السبب؛ التأثير والتصديق.]</w:t>
      </w:r>
    </w:p>
    <w:p>
      <w:pPr>
        <w:pStyle w:val="Heading2"/>
        <w:bidi w:val="1"/>
      </w:pPr>
      <w:r>
        <w:rPr>
          <w:rtl w:val="1"/>
        </w:rPr>
        <w:t>10.4 UK الأحكام</w:t>
      </w:r>
    </w:p>
    <w:p>
      <w:pPr>
        <w:spacing w:before="0" w:after="80" w:line="269" w:lineRule="auto"/>
        <w:bidi w:val="1"/>
      </w:pPr>
      <w:r>
        <w:rPr>
          <w:rFonts w:ascii="Lato" w:hAnsi="Lato" w:eastAsia="Lato"/>
          <w:i w:val="0"/>
          <w:color w:val="26384A"/>
          <w:sz w:val="19"/>
          <w:rtl w:val="1"/>
        </w:rPr>
        <w:t>[جداول إدخال: الإفادة؛ الحالة؛ المدة؛ المعلومات المتأثرة؛ الكشف عن البديل؛ التأثير المقارن؛ تأثير المطالبة؛ الموافقة.]</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سجلات الحكم والتقديرات متماثلة.</w:t>
      </w:r>
    </w:p>
    <w:p>
      <w:pPr>
        <w:pStyle w:val="ListBullet"/>
        <w:spacing w:before="0" w:after="60" w:line="259" w:lineRule="auto"/>
        <w:bidi w:val="1"/>
      </w:pPr>
      <w:r>
        <w:rPr>
          <w:rFonts w:ascii="Lato" w:hAnsi="Lato" w:eastAsia="Lato"/>
          <w:color w:val="26384A"/>
          <w:sz w:val="19"/>
          <w:rtl w:val="1"/>
        </w:rPr>
        <w:t>☐ التغييرات التي تم تصنيفها بشكل صحيح.</w:t>
      </w:r>
    </w:p>
    <w:p>
      <w:pPr>
        <w:pStyle w:val="ListBullet"/>
        <w:spacing w:before="0" w:after="60" w:line="259" w:lineRule="auto"/>
        <w:bidi w:val="1"/>
      </w:pPr>
      <w:r>
        <w:rPr>
          <w:rFonts w:ascii="Lato" w:hAnsi="Lato" w:eastAsia="Lato"/>
          <w:color w:val="26384A"/>
          <w:sz w:val="19"/>
          <w:rtl w:val="1"/>
        </w:rPr>
        <w:t>☐ استخدام الإمدادات إلى جانب بيان الامتثال.</w:t>
      </w:r>
    </w:p>
    <w:p>
      <w:pPr>
        <w:pStyle w:val="ListBullet"/>
        <w:spacing w:before="0" w:after="60" w:line="259" w:lineRule="auto"/>
        <w:bidi w:val="1"/>
      </w:pPr>
      <w:r>
        <w:rPr>
          <w:rFonts w:ascii="Lato" w:hAnsi="Lato" w:eastAsia="Lato"/>
          <w:color w:val="26384A"/>
          <w:sz w:val="19"/>
          <w:rtl w:val="1"/>
        </w:rPr>
        <w:t>☐ تصحيحات الخطأ المعتمدة.</w:t>
      </w:r>
    </w:p>
    <w:p>
      <w:pPr>
        <w:pStyle w:val="Heading1"/>
        <w:bidi w:val="1"/>
      </w:pPr>
      <w:r>
        <w:rPr>
          <w:rtl w:val="1"/>
        </w:rPr>
        <w:t>11. مؤشر الإفصاح والإشارات المتقاطعة</w:t>
      </w:r>
    </w:p>
    <w:tbl>
      <w:tblPr>
        <w:tblW w:type="auto" w:w="0"/>
        <w:jc w:val="center"/>
        <w:tblLook w:firstColumn="1" w:firstRow="1" w:lastColumn="0" w:lastRow="0" w:noHBand="0" w:noVBand="1" w:val="04A0"/>
        <w:tblLayout w:type="fixed"/>
      </w:tblPr>
      <w:tblGrid>
        <w:gridCol w:w="10036"/>
      </w:tblGrid>
      <w:tr>
        <w:trPr>
          <w:cantSplit/>
        </w:trPr>
        <w:tc>
          <w:tcPr>
            <w:tcW w:type="dxa" w:w="10036"/>
            <w:shd w:fill="EAF1F7"/>
            <w:tcMar>
              <w:top w:w="120" w:type="dxa"/>
              <w:start w:w="150" w:type="dxa"/>
              <w:bottom w:w="120" w:type="dxa"/>
              <w:end w:w="150" w:type="dxa"/>
            </w:tcMar>
            <w:tcBorders>
              <w:left w:val="single" w:sz="18" w:color="173F65"/>
            </w:tcBorders>
          </w:tcPr>
          <w:p>
            <w:pPr>
              <w:spacing w:before="0" w:after="60" w:line="240" w:lineRule="auto"/>
              <w:bidi w:val="1"/>
            </w:pPr>
            <w:r>
              <w:rPr>
                <w:rFonts w:ascii="Lato" w:hAnsi="Lato" w:eastAsia="Lato"/>
                <w:b/>
                <w:color w:val="173F65"/>
                <w:sz w:val="17"/>
                <w:rtl w:val="1"/>
              </w:rPr>
              <w:t>PURPOSE</w:t>
            </w:r>
          </w:p>
          <w:p>
            <w:pPr>
              <w:spacing w:before="0" w:after="0" w:line="259" w:lineRule="auto"/>
              <w:bidi w:val="1"/>
            </w:pPr>
            <w:r>
              <w:rPr>
                <w:rFonts w:ascii="Lato" w:hAnsi="Lato" w:eastAsia="Lato"/>
                <w:b w:val="0"/>
                <w:color w:val="173F65"/>
                <w:sz w:val="18"/>
                <w:rtl w:val="1"/>
              </w:rPr>
              <w:t>توفير خريطة مراقبة من كل متطلبات مادي إلى موقع تقريرها والسجل التقني الداعم.</w:t>
            </w:r>
          </w:p>
        </w:tc>
      </w:tr>
    </w:tbl>
    <w:p>
      <w:pPr>
        <w:spacing w:after="0"/>
      </w:pPr>
    </w:p>
    <w:p>
      <w:pPr>
        <w:pStyle w:val="Heading2"/>
        <w:bidi w:val="1"/>
      </w:pPr>
      <w:r>
        <w:rPr>
          <w:rtl w:val="1"/>
        </w:rPr>
        <w:t>11.1 مؤشر الإفصاح عن المعلومات</w:t>
      </w:r>
    </w:p>
    <w:p>
      <w:pPr>
        <w:spacing w:before="0" w:after="80" w:line="269" w:lineRule="auto"/>
        <w:bidi w:val="1"/>
      </w:pPr>
      <w:r>
        <w:rPr>
          <w:rFonts w:ascii="Lato" w:hAnsi="Lato" w:eastAsia="Lato"/>
          <w:i w:val="0"/>
          <w:color w:val="26384A"/>
          <w:sz w:val="19"/>
          <w:rtl w:val="1"/>
        </w:rPr>
        <w:t>[مؤشر إدخال: هوية المتطلبات؛ UK الفقرة؛ الوضع؛ صفحة التقرير/مكان الموقع؛ الإشارة المتقاطعة؛ التوفير؛ هوية الدليل؛ المراجع.]</w:t>
      </w:r>
    </w:p>
    <w:p>
      <w:pPr>
        <w:pStyle w:val="Heading2"/>
        <w:bidi w:val="1"/>
      </w:pPr>
      <w:r>
        <w:rPr>
          <w:rtl w:val="1"/>
        </w:rPr>
        <w:t>11.2 اختبار الإفراج المتبادل</w:t>
      </w:r>
    </w:p>
    <w:p>
      <w:pPr>
        <w:spacing w:before="0" w:after="80" w:line="269" w:lineRule="auto"/>
        <w:bidi w:val="1"/>
      </w:pPr>
      <w:r>
        <w:rPr>
          <w:rFonts w:ascii="Lato" w:hAnsi="Lato" w:eastAsia="Lato"/>
          <w:i w:val="0"/>
          <w:color w:val="26384A"/>
          <w:sz w:val="19"/>
          <w:rtl w:val="1"/>
        </w:rPr>
        <w:t>[إدخال: الوثيقة/ الصفحة/ عنوان URL الدقيق؛ وقت الإصدار؛ شروط الوصول؛ النسخة؛ موقع الملفات الأرشيفية؛ الشخص المسؤول.]</w:t>
      </w:r>
    </w:p>
    <w:p>
      <w:pPr>
        <w:pStyle w:val="Heading2"/>
        <w:bidi w:val="1"/>
      </w:pPr>
      <w:r>
        <w:rPr>
          <w:rtl w:val="1"/>
        </w:rPr>
        <w:t>11.3 ذات صلة UK البيانات</w:t>
      </w:r>
    </w:p>
    <w:p>
      <w:pPr>
        <w:spacing w:before="0" w:after="80" w:line="269" w:lineRule="auto"/>
        <w:bidi w:val="1"/>
      </w:pPr>
      <w:r>
        <w:rPr>
          <w:rFonts w:ascii="Lato" w:hAnsi="Lato" w:eastAsia="Lato"/>
          <w:i w:val="0"/>
          <w:color w:val="26384A"/>
          <w:sz w:val="19"/>
          <w:rtl w:val="1"/>
        </w:rPr>
        <w:t>[إدخال: الإفصاحات عن NFSIS و SECR والوكالات المالية الفيدرالية الحالية؛ ملاحظة التداخل والمصالحة.]</w:t>
      </w:r>
    </w:p>
    <w:p>
      <w:pPr>
        <w:pStyle w:val="Heading2"/>
        <w:bidi w:val="1"/>
      </w:pPr>
      <w:r>
        <w:rPr>
          <w:rtl w:val="1"/>
        </w:rPr>
        <w:t>إثباتات ومسائل التحكم</w:t>
      </w:r>
    </w:p>
    <w:p>
      <w:pPr>
        <w:pStyle w:val="ListBullet"/>
        <w:spacing w:before="0" w:after="60" w:line="259" w:lineRule="auto"/>
        <w:bidi w:val="1"/>
      </w:pPr>
      <w:r>
        <w:rPr>
          <w:rFonts w:ascii="Lato" w:hAnsi="Lato" w:eastAsia="Lato"/>
          <w:color w:val="26384A"/>
          <w:sz w:val="19"/>
          <w:rtl w:val="1"/>
        </w:rPr>
        <w:t>☐ لا توجد إشارات مكسورة أو عامة.</w:t>
      </w:r>
    </w:p>
    <w:p>
      <w:pPr>
        <w:pStyle w:val="ListBullet"/>
        <w:spacing w:before="0" w:after="60" w:line="259" w:lineRule="auto"/>
        <w:bidi w:val="1"/>
      </w:pPr>
      <w:r>
        <w:rPr>
          <w:rFonts w:ascii="Lato" w:hAnsi="Lato" w:eastAsia="Lato"/>
          <w:color w:val="26384A"/>
          <w:sz w:val="19"/>
          <w:rtl w:val="1"/>
        </w:rPr>
        <w:t>☐ المعلومات المرجعية التي تم إطلاقها في نفس الوقت.</w:t>
      </w:r>
    </w:p>
    <w:p>
      <w:pPr>
        <w:pStyle w:val="ListBullet"/>
        <w:spacing w:before="0" w:after="60" w:line="259" w:lineRule="auto"/>
        <w:bidi w:val="1"/>
      </w:pPr>
      <w:r>
        <w:rPr>
          <w:rFonts w:ascii="Lato" w:hAnsi="Lato" w:eastAsia="Lato"/>
          <w:color w:val="26384A"/>
          <w:sz w:val="19"/>
          <w:rtl w:val="1"/>
        </w:rPr>
        <w:t>☐ مصادر ديناميكية مقفلة أو محفوظة.</w:t>
      </w:r>
    </w:p>
    <w:p>
      <w:pPr>
        <w:pStyle w:val="ListBullet"/>
        <w:spacing w:before="0" w:after="60" w:line="259" w:lineRule="auto"/>
        <w:bidi w:val="1"/>
      </w:pPr>
      <w:r>
        <w:rPr>
          <w:rFonts w:ascii="Lato" w:hAnsi="Lato" w:eastAsia="Lato"/>
          <w:color w:val="26384A"/>
          <w:sz w:val="19"/>
          <w:rtl w:val="1"/>
        </w:rPr>
        <w:t>☐ تظل المطالبات الخاصة بالإطار مختلفة.</w:t>
      </w:r>
    </w:p>
    <w:p>
      <w:pPr>
        <w:pStyle w:val="Heading1"/>
        <w:bidi w:val="1"/>
      </w:pPr>
      <w:r>
        <w:rPr>
          <w:rtl w:val="1"/>
        </w:rPr>
        <w:t>سجل الموافقة النهائي للإدارة والمجلس</w:t>
      </w:r>
    </w:p>
    <w:tbl>
      <w:tblPr>
        <w:tblW w:type="auto" w:w="0"/>
        <w:jc w:val="center"/>
        <w:tblLook w:firstColumn="1" w:firstRow="1" w:lastColumn="0" w:lastRow="0" w:noHBand="0" w:noVBand="1" w:val="04A0"/>
        <w:tblLayout w:type="fixed"/>
      </w:tblPr>
      <w:tblGrid>
        <w:gridCol w:w="2509"/>
        <w:gridCol w:w="2509"/>
        <w:gridCol w:w="2509"/>
        <w:gridCol w:w="2509"/>
      </w:tblGrid>
      <w:tr>
        <w:trPr>
          <w:tblHeader w:val="true"/>
        </w:trPr>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البوابة</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الاسم / الجسم</w:t>
            </w:r>
          </w:p>
        </w:tc>
        <w:tc>
          <w:tcPr>
            <w:tcW w:type="dxa" w:w="2381"/>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القرار / التاريخ</w:t>
            </w:r>
          </w:p>
        </w:tc>
        <w:tc>
          <w:tcPr>
            <w:tcW w:type="dxa" w:w="2665"/>
            <w:shd w:fill="173F65"/>
            <w:tcMar>
              <w:top w:w="90" w:type="dxa"/>
              <w:start w:w="80" w:type="dxa"/>
              <w:bottom w:w="90" w:type="dxa"/>
              <w:end w:w="80" w:type="dxa"/>
            </w:tcMar>
            <w:tcBorders>
              <w:top w:val="single" w:sz="4" w:color="C8D2DC"/>
              <w:left w:val="single" w:sz="4" w:color="C8D2DC"/>
              <w:bottom w:val="single" w:sz="4" w:color="C8D2DC"/>
              <w:right w:val="single" w:sz="4" w:color="C8D2DC"/>
            </w:tcBorders>
          </w:tcPr>
          <w:p>
            <w:pPr>
              <w:spacing w:before="0" w:after="0" w:line="240" w:lineRule="auto"/>
              <w:jc w:val="left"/>
              <w:bidi w:val="1"/>
            </w:pPr>
            <w:r>
              <w:rPr>
                <w:rFonts w:ascii="Lato" w:hAnsi="Lato" w:eastAsia="Lato"/>
                <w:b/>
                <w:color w:val="FFFFFF"/>
                <w:sz w:val="18"/>
                <w:rtl w:val="1"/>
              </w:rPr>
              <w:t>الإجراءات المفتوحة</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شهادة مالك البيانات</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المراجعة الفنية</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التماسك بين المدير المالي والمالية</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أمين قانون / شركات</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مراجعة المراجعة الداخلية / مراجعة الاستعداد</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توصية لجنة التحقيق</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موافقة مجلس الإدارة</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FFFFF"/>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r>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شهادة الإفراج</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381"/>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c>
          <w:tcPr>
            <w:tcW w:type="dxa" w:w="2665"/>
            <w:shd w:fill="F3F5F7"/>
            <w:tcMar>
              <w:top w:w="75" w:type="dxa"/>
              <w:start w:w="80" w:type="dxa"/>
              <w:bottom w:w="75" w:type="dxa"/>
              <w:end w:w="80" w:type="dxa"/>
            </w:tcMar>
            <w:tcBorders>
              <w:top w:val="single" w:sz="3" w:color="C8D2DC"/>
              <w:left w:val="single" w:sz="3" w:color="C8D2DC"/>
              <w:bottom w:val="single" w:sz="3" w:color="C8D2DC"/>
              <w:right w:val="single" w:sz="3" w:color="C8D2DC"/>
            </w:tcBorders>
            <w:vAlign w:val="top"/>
          </w:tcPr>
          <w:p>
            <w:pPr>
              <w:spacing w:before="0" w:after="0" w:line="247" w:lineRule="auto"/>
              <w:bidi w:val="1"/>
            </w:pPr>
            <w:r>
              <w:rPr>
                <w:rFonts w:ascii="Lato" w:hAnsi="Lato" w:eastAsia="Lato"/>
                <w:b w:val="0"/>
                <w:color w:val="26384A"/>
                <w:sz w:val="17"/>
                <w:rtl w:val="1"/>
              </w:rPr>
              <w:t>[INSERT]</w:t>
            </w:r>
          </w:p>
        </w:tc>
      </w:tr>
    </w:tbl>
    <w:p>
      <w:pPr>
        <w:spacing w:after="0"/>
      </w:pPr>
    </w:p>
    <w:tbl>
      <w:tblPr>
        <w:tblW w:type="auto" w:w="0"/>
        <w:jc w:val="center"/>
        <w:tblLook w:firstColumn="1" w:firstRow="1" w:lastColumn="0" w:lastRow="0" w:noHBand="0" w:noVBand="1" w:val="04A0"/>
        <w:tblLayout w:type="fixed"/>
      </w:tblPr>
      <w:tblGrid>
        <w:gridCol w:w="10036"/>
      </w:tblGrid>
      <w:tr>
        <w:trPr>
          <w:cantSplit/>
        </w:trPr>
        <w:tc>
          <w:tcPr>
            <w:tcW w:type="dxa" w:w="10036"/>
            <w:shd w:fill="FFF2CC"/>
            <w:tcMar>
              <w:top w:w="120" w:type="dxa"/>
              <w:start w:w="150" w:type="dxa"/>
              <w:bottom w:w="120" w:type="dxa"/>
              <w:end w:w="150" w:type="dxa"/>
            </w:tcMar>
            <w:tcBorders>
              <w:left w:val="single" w:sz="18" w:color="7F6000"/>
            </w:tcBorders>
          </w:tcPr>
          <w:p>
            <w:pPr>
              <w:spacing w:before="0" w:after="60" w:line="240" w:lineRule="auto"/>
              <w:bidi w:val="1"/>
            </w:pPr>
            <w:r>
              <w:rPr>
                <w:rFonts w:ascii="Lato" w:hAnsi="Lato" w:eastAsia="Lato"/>
                <w:b/>
                <w:color w:val="7F6000"/>
                <w:sz w:val="17"/>
                <w:rtl w:val="1"/>
              </w:rPr>
              <w:t>FINAL LIMITATION</w:t>
            </w:r>
          </w:p>
          <w:p>
            <w:pPr>
              <w:spacing w:before="0" w:after="0" w:line="259" w:lineRule="auto"/>
              <w:bidi w:val="1"/>
            </w:pPr>
            <w:r>
              <w:rPr>
                <w:rFonts w:ascii="Lato" w:hAnsi="Lato" w:eastAsia="Lato"/>
                <w:b/>
                <w:color w:val="7F6000"/>
                <w:sz w:val="18"/>
                <w:rtl w:val="1"/>
              </w:rPr>
              <w:t>لا تحلّ محل النصوص النهائية UK معايير SRS، وقرارات ملموسة وتطبيقية محددة للشركة، والاستشارات القانونية، والضوابط الداخلية أو التأكيد المستقل.</w:t>
            </w:r>
          </w:p>
        </w:tc>
      </w:tr>
    </w:tbl>
    <w:p>
      <w:pPr>
        <w:spacing w:after="0"/>
      </w:pPr>
    </w:p>
    <w:sectPr w:rsidR="00FC693F" w:rsidRPr="0006063C" w:rsidSect="00034616">
      <w:headerReference w:type="default" r:id="rId9"/>
      <w:footerReference w:type="default" r:id="rId10"/>
      <w:pgSz w:w="11906" w:h="16838"/>
      <w:pgMar w:top="879" w:right="935" w:bottom="822" w:left="935" w:header="255"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jc w:val="center"/>
      <w:tblLayout w:type="fixed"/>
    </w:tblPr>
    <w:tblGrid>
      <w:gridCol w:w="3345"/>
      <w:gridCol w:w="3345"/>
      <w:gridCol w:w="3345"/>
    </w:tblGrid>
    <w:tr>
      <w:tc>
        <w:tcPr>
          <w:tcW w:type="dxa" w:w="3628"/>
          <w:tcMar>
            <w:top w:w="15" w:type="dxa"/>
            <w:start w:w="0" w:type="dxa"/>
            <w:bottom w:w="0" w:type="dxa"/>
            <w:end w:w="0" w:type="dxa"/>
          </w:tcMar>
          <w:tcBorders>
            <w:top w:val="single" w:sz="6" w:color="C8D2DC"/>
          </w:tcBorders>
        </w:tcPr>
        <w:p>
          <w:pPr>
            <w:spacing w:before="0" w:after="0" w:line="240" w:lineRule="auto"/>
            <w:bidi w:val="1"/>
          </w:pPr>
          <w:r>
            <w:rPr>
              <w:rFonts w:ascii="Lato" w:hAnsi="Lato" w:eastAsia="Lato"/>
              <w:color w:val="667788"/>
              <w:sz w:val="15"/>
              <w:rtl w:val="1"/>
            </w:rPr>
            <w:t>UKSRS-S2-TPL-001  · النسخة 1.0</w:t>
          </w:r>
        </w:p>
      </w:tc>
      <w:tc>
        <w:tcPr>
          <w:tcW w:type="dxa" w:w="3685"/>
          <w:tcMar>
            <w:top w:w="15" w:type="dxa"/>
            <w:start w:w="0" w:type="dxa"/>
            <w:bottom w:w="0" w:type="dxa"/>
            <w:end w:w="0" w:type="dxa"/>
          </w:tcMar>
          <w:tcBorders>
            <w:top w:val="single" w:sz="6" w:color="C8D2DC"/>
          </w:tcBorders>
        </w:tcPr>
        <w:p>
          <w:pPr>
            <w:spacing w:before="0" w:after="0" w:line="240" w:lineRule="auto"/>
            <w:jc w:val="center"/>
            <w:bidi w:val="1"/>
          </w:pPr>
          <w:r>
            <w:rPr>
              <w:rFonts w:ascii="Lato" w:hAnsi="Lato" w:eastAsia="Lato"/>
              <w:color w:val="667788"/>
              <w:sz w:val="15"/>
              <w:rtl w:val="1"/>
            </w:rPr>
            <w:t>الحد التقني: 3 أغسطس 2026</w:t>
          </w:r>
        </w:p>
      </w:tc>
      <w:tc>
        <w:tcPr>
          <w:tcW w:type="dxa" w:w="2721"/>
          <w:tcMar>
            <w:top w:w="15" w:type="dxa"/>
            <w:start w:w="0" w:type="dxa"/>
            <w:bottom w:w="0" w:type="dxa"/>
            <w:end w:w="0" w:type="dxa"/>
          </w:tcMar>
          <w:tcBorders>
            <w:top w:val="single" w:sz="6" w:color="C8D2DC"/>
          </w:tcBorders>
        </w:tcPr>
        <w:p>
          <w:pPr>
            <w:jc w:val="right"/>
          </w:pPr>
          <w:r>
            <w:rPr>
              <w:rFonts w:ascii="Lato" w:hAnsi="Lato" w:eastAsia="Lato"/>
              <w:color w:val="66778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jc w:val="center"/>
      <w:tblLayout w:type="fixed"/>
    </w:tblPr>
    <w:tblGrid>
      <w:gridCol w:w="5017"/>
      <w:gridCol w:w="5017"/>
    </w:tblGrid>
    <w:tr>
      <w:tc>
        <w:tcPr>
          <w:tcW w:type="dxa" w:w="7257"/>
          <w:tcMar>
            <w:top w:w="20" w:type="dxa"/>
            <w:start w:w="0" w:type="dxa"/>
            <w:bottom w:w="20" w:type="dxa"/>
            <w:end w:w="0" w:type="dxa"/>
          </w:tcMar>
          <w:tcBorders>
            <w:bottom w:val="single" w:sz="8" w:color="2A6F97"/>
          </w:tcBorders>
        </w:tcPr>
        <w:p>
          <w:pPr>
            <w:spacing w:before="0" w:after="0" w:line="240" w:lineRule="auto"/>
            <w:jc w:val="left"/>
            <w:bidi w:val="1"/>
          </w:pPr>
          <w:r>
            <w:rPr>
              <w:rFonts w:ascii="Lato" w:hAnsi="Lato" w:eastAsia="Lato"/>
              <w:b/>
              <w:color w:val="667788"/>
              <w:sz w:val="16"/>
              <w:rtl w:val="1"/>
            </w:rPr>
            <w:t>LONDON REPORTING ACADEMY  ·  مركز المعرفة</w:t>
          </w:r>
        </w:p>
      </w:tc>
      <w:tc>
        <w:tcPr>
          <w:tcW w:type="dxa" w:w="2778"/>
          <w:tcMar>
            <w:top w:w="20" w:type="dxa"/>
            <w:start w:w="0" w:type="dxa"/>
            <w:bottom w:w="20" w:type="dxa"/>
            <w:end w:w="0" w:type="dxa"/>
          </w:tcMar>
          <w:tcBorders>
            <w:bottom w:val="single" w:sz="8" w:color="2A6F97"/>
          </w:tcBorders>
        </w:tcPr>
        <w:p>
          <w:pPr>
            <w:spacing w:before="0" w:after="0" w:line="240" w:lineRule="auto"/>
            <w:jc w:val="right"/>
          </w:pPr>
          <w:r>
            <w:drawing>
              <wp:inline xmlns:a="http://schemas.openxmlformats.org/drawingml/2006/main" xmlns:pic="http://schemas.openxmlformats.org/drawingml/2006/picture">
                <wp:extent cx="1260000" cy="756000"/>
                <wp:docPr id="1" name="Picture 1" descr="London Reporting Academy logo" title="London Reporting Academy logo"/>
                <wp:cNvGraphicFramePr>
                  <a:graphicFrameLocks noChangeAspect="1"/>
                </wp:cNvGraphicFramePr>
                <a:graphic>
                  <a:graphicData uri="http://schemas.openxmlformats.org/drawingml/2006/picture">
                    <pic:pic>
                      <pic:nvPicPr>
                        <pic:cNvPr id="0" name="LRA_logo.png"/>
                        <pic:cNvPicPr/>
                      </pic:nvPicPr>
                      <pic:blipFill>
                        <a:blip r:embed="rId1"/>
                        <a:stretch>
                          <a:fillRect/>
                        </a:stretch>
                      </pic:blipFill>
                      <pic:spPr>
                        <a:xfrm>
                          <a:off x="0" y="0"/>
                          <a:ext cx="1260000" cy="756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eastAsia="Lato"/>
      <w:color w:val="2638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Lato" w:hAnsi="Lato" w:eastAsia="Lato"/>
      <w:b/>
      <w:bCs/>
      <w:color w:val="173F65"/>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Lato" w:hAnsi="Lato" w:eastAsia="Lato"/>
      <w:b/>
      <w:bCs/>
      <w:color w:val="2A6F97"/>
      <w:sz w:val="31"/>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Lato" w:hAnsi="Lato" w:eastAsia="Lato"/>
      <w:b/>
      <w:bCs/>
      <w:color w:val="173F6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ato" w:hAnsi="Lato" w:eastAsia="Lato"/>
      <w:b/>
      <w:color w:val="173F6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Lato" w:hAnsi="Lato" w:eastAsia="Lato"/>
      <w:b/>
      <w:i/>
      <w:iCs/>
      <w:color w:val="66778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Lato" w:hAnsi="Lato" w:eastAsia="Lato"/>
      <w:color w:val="26384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9" w:lineRule="auto"/>
      <w:contextualSpacing/>
    </w:pPr>
    <w:rPr>
      <w:rFonts w:ascii="Lato" w:hAnsi="Lato" w:eastAsia="Lato"/>
      <w:color w:val="26384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Small">
    <w:name w:val="LRA Small"/>
    <w:pPr>
      <w:spacing w:after="60" w:line="240" w:lineRule="auto"/>
    </w:pPr>
    <w:rPr>
      <w:rFonts w:ascii="Lato" w:hAnsi="Lato" w:eastAsia="Lato"/>
      <w:color w:val="66778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S2 Annual Report Disclosure Template</dc:title>
  <dc:subject>Editable structure and drafting prompts for basis of preparation, four pillars, scenarios, GHG, financial effects, judgements, provisions, cross-references and approval</dc:subject>
  <dc:creator>London Reporting Academy</dc:creator>
  <cp:keywords>UK SRS S2 report template, annual report, climate disclosure</cp:keywords>
  <dc:description>Prepared as a London Reporting Academy Knowledge Card Package.</dc:description>
  <cp:lastModifiedBy>London Reporting Academy</cp:lastModifiedBy>
  <cp:revision>1</cp:revision>
  <dcterms:created xsi:type="dcterms:W3CDTF">2013-12-23T23:15:00Z</dcterms:created>
  <dcterms:modified xsi:type="dcterms:W3CDTF">2013-12-23T23:15:00Z</dcterms:modified>
  <cp:category/>
</cp:coreProperties>
</file>