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4069080" cy="674611"/>
            <wp:docPr id="1" name="Picture 1" descr="London Reporting Academy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69080" cy="674611"/>
                    </a:xfrm>
                    <a:prstGeom prst="rect"/>
                  </pic:spPr>
                </pic:pic>
              </a:graphicData>
            </a:graphic>
          </wp:inline>
        </w:drawing>
      </w:r>
    </w:p>
    <w:p>
      <w:pPr>
        <w:bidi w:val="1"/>
      </w:pPr>
      <w:r>
        <w:rPr>
          <w:rFonts w:ascii="Arial" w:hAnsi="Arial" w:eastAsia="Arial"/>
          <w:b/>
          <w:color w:val="1F5E8C"/>
          <w:sz w:val="21"/>
          <w:rtl w:val="1"/>
        </w:rPr>
        <w:t>LRA مركز المعرفة  ·  UK SRS S1</w:t>
      </w:r>
    </w:p>
    <w:p>
      <w:pPr>
        <w:pStyle w:val="Title"/>
        <w:keepNext/>
        <w:pBdr>
          <w:bottom w:val="single" w:sz="12" w:space="5" w:color="2F75B5"/>
        </w:pBdr>
        <w:bidi w:val="1"/>
      </w:pPr>
      <w:r>
        <w:rPr>
          <w:rtl w:val="1"/>
        </w:rPr>
        <w:t>UK SRS S1 مجموعة أدوات العمل في الدورة الأولى</w:t>
      </w:r>
    </w:p>
    <w:p>
      <w:pPr>
        <w:pStyle w:val="Subtitle"/>
        <w:bidi w:val="1"/>
      </w:pPr>
      <w:r>
        <w:rPr>
          <w:rtl w:val="1"/>
        </w:rPr>
        <w:t>السجلات والمساعدات المعدلة للصيانة على تقرير الأساس، وتخطيط التنفيذ، الفقرة E3، والادعاءات، واللميزية، وتحديد المخاطر والفرص، والمقاييس، والتأثيرات المالية ووقعة مجلس الإدارة.</w:t>
      </w:r>
    </w:p>
    <w:tbl>
      <w:tblPr>
        <w:tblStyle w:val="TableGrid"/>
        <w:tblW w:type="auto" w:w="0"/>
        <w:jc w:val="center"/>
        <w:tblLook w:firstColumn="1" w:firstRow="1" w:lastColumn="0" w:lastRow="0" w:noHBand="0" w:noVBand="1" w:val="04A0"/>
      </w:tblPr>
      <w:tblGrid>
        <w:gridCol w:w="4904"/>
        <w:gridCol w:w="4904"/>
      </w:tblGrid>
      <w:tr>
        <w:tc>
          <w:tcPr>
            <w:tcW w:type="dxa" w:w="9808"/>
            <w:gridSpan w:val="2"/>
            <w:shd w:fill="173B6C"/>
          </w:tcPr>
          <w:p>
            <w:r/>
          </w:p>
        </w:tc>
      </w:tr>
      <w:tr>
        <w:tc>
          <w:tcPr>
            <w:tcW w:type="dxa" w:w="4904"/>
            <w:shd w:fill="EAF2F8"/>
            <w:tcMar>
              <w:top w:w="90" w:type="dxa"/>
              <w:start w:w="110" w:type="dxa"/>
              <w:bottom w:w="90" w:type="dxa"/>
              <w:end w:w="110" w:type="dxa"/>
            </w:tcMar>
            <w:vAlign w:val="center"/>
          </w:tcPr>
          <w:p>
            <w:pPr>
              <w:bidi w:val="1"/>
            </w:pPr>
            <w:r>
              <w:rPr>
                <w:rFonts w:ascii="Arial" w:hAnsi="Arial" w:eastAsia="Arial"/>
                <w:b/>
                <w:color w:val="173B6C"/>
                <w:sz w:val="18"/>
                <w:rtl w:val="1"/>
              </w:rPr>
              <w:t>هوية جمع</w:t>
            </w:r>
          </w:p>
        </w:tc>
        <w:tc>
          <w:tcPr>
            <w:tcW w:type="dxa" w:w="4904"/>
            <w:tcMar>
              <w:top w:w="90" w:type="dxa"/>
              <w:start w:w="110" w:type="dxa"/>
              <w:bottom w:w="90" w:type="dxa"/>
              <w:end w:w="110" w:type="dxa"/>
            </w:tcMar>
            <w:vAlign w:val="center"/>
          </w:tcPr>
          <w:p>
            <w:pPr>
              <w:bidi w:val="1"/>
            </w:pPr>
            <w:r>
              <w:rPr>
                <w:rFonts w:ascii="Arial" w:hAnsi="Arial" w:eastAsia="Arial"/>
                <w:color w:val="1C2733"/>
                <w:sz w:val="18"/>
                <w:rtl w:val="1"/>
              </w:rPr>
              <w:t>UKSRS1-TOOL-006</w:t>
            </w:r>
          </w:p>
        </w:tc>
      </w:tr>
      <w:tr>
        <w:tc>
          <w:tcPr>
            <w:tcW w:type="dxa" w:w="4904"/>
            <w:shd w:fill="EAF2F8"/>
            <w:tcMar>
              <w:top w:w="90" w:type="dxa"/>
              <w:start w:w="110" w:type="dxa"/>
              <w:bottom w:w="90" w:type="dxa"/>
              <w:end w:w="110" w:type="dxa"/>
            </w:tcMar>
            <w:vAlign w:val="center"/>
          </w:tcPr>
          <w:p>
            <w:pPr>
              <w:bidi w:val="1"/>
            </w:pPr>
            <w:r>
              <w:rPr>
                <w:rFonts w:ascii="Arial" w:hAnsi="Arial" w:eastAsia="Arial"/>
                <w:b/>
                <w:color w:val="173B6C"/>
                <w:sz w:val="18"/>
                <w:rtl w:val="1"/>
              </w:rPr>
              <w:t>تنسيق</w:t>
            </w:r>
          </w:p>
        </w:tc>
        <w:tc>
          <w:tcPr>
            <w:tcW w:type="dxa" w:w="4904"/>
            <w:tcMar>
              <w:top w:w="90" w:type="dxa"/>
              <w:start w:w="110" w:type="dxa"/>
              <w:bottom w:w="90" w:type="dxa"/>
              <w:end w:w="110" w:type="dxa"/>
            </w:tcMar>
            <w:vAlign w:val="center"/>
          </w:tcPr>
          <w:p>
            <w:pPr>
              <w:bidi w:val="1"/>
            </w:pPr>
            <w:r>
              <w:rPr>
                <w:rFonts w:ascii="Arial" w:hAnsi="Arial" w:eastAsia="Arial"/>
                <w:color w:val="1C2733"/>
                <w:sz w:val="18"/>
                <w:rtl w:val="1"/>
              </w:rPr>
              <w:t>مجموعة أدوات التنفيذ</w:t>
            </w:r>
          </w:p>
        </w:tc>
      </w:tr>
      <w:tr>
        <w:tc>
          <w:tcPr>
            <w:tcW w:type="dxa" w:w="4904"/>
            <w:shd w:fill="EAF2F8"/>
            <w:tcMar>
              <w:top w:w="90" w:type="dxa"/>
              <w:start w:w="110" w:type="dxa"/>
              <w:bottom w:w="90" w:type="dxa"/>
              <w:end w:w="110" w:type="dxa"/>
            </w:tcMar>
            <w:vAlign w:val="center"/>
          </w:tcPr>
          <w:p>
            <w:pPr>
              <w:bidi w:val="1"/>
            </w:pPr>
            <w:r>
              <w:rPr>
                <w:rFonts w:ascii="Arial" w:hAnsi="Arial" w:eastAsia="Arial"/>
                <w:b/>
                <w:color w:val="173B6C"/>
                <w:sz w:val="18"/>
                <w:rtl w:val="1"/>
              </w:rPr>
              <w:t>الجمهور الأساسي</w:t>
            </w:r>
          </w:p>
        </w:tc>
        <w:tc>
          <w:tcPr>
            <w:tcW w:type="dxa" w:w="4904"/>
            <w:tcMar>
              <w:top w:w="90" w:type="dxa"/>
              <w:start w:w="110" w:type="dxa"/>
              <w:bottom w:w="90" w:type="dxa"/>
              <w:end w:w="110" w:type="dxa"/>
            </w:tcMar>
            <w:vAlign w:val="center"/>
          </w:tcPr>
          <w:p>
            <w:pPr>
              <w:bidi w:val="1"/>
            </w:pPr>
            <w:r>
              <w:rPr>
                <w:rFonts w:ascii="Arial" w:hAnsi="Arial" w:eastAsia="Arial"/>
                <w:color w:val="1C2733"/>
                <w:sz w:val="18"/>
                <w:rtl w:val="1"/>
              </w:rPr>
              <w:t>تقرير فرق المشروع، التمويل، المخاطر، أمانة الشركات، المراجعين القانونيين والدقيق الداخليين والمراجعين الفنيين</w:t>
            </w:r>
          </w:p>
        </w:tc>
      </w:tr>
      <w:tr>
        <w:tc>
          <w:tcPr>
            <w:tcW w:type="dxa" w:w="4904"/>
            <w:shd w:fill="EAF2F8"/>
            <w:tcMar>
              <w:top w:w="90" w:type="dxa"/>
              <w:start w:w="110" w:type="dxa"/>
              <w:bottom w:w="90" w:type="dxa"/>
              <w:end w:w="110" w:type="dxa"/>
            </w:tcMar>
            <w:vAlign w:val="center"/>
          </w:tcPr>
          <w:p>
            <w:pPr>
              <w:bidi w:val="1"/>
            </w:pPr>
            <w:r>
              <w:rPr>
                <w:rFonts w:ascii="Arial" w:hAnsi="Arial" w:eastAsia="Arial"/>
                <w:b/>
                <w:color w:val="173B6C"/>
                <w:sz w:val="18"/>
                <w:rtl w:val="1"/>
              </w:rPr>
              <w:t>الوضع التقني</w:t>
            </w:r>
          </w:p>
        </w:tc>
        <w:tc>
          <w:tcPr>
            <w:tcW w:type="dxa" w:w="4904"/>
            <w:tcMar>
              <w:top w:w="90" w:type="dxa"/>
              <w:start w:w="110" w:type="dxa"/>
              <w:bottom w:w="90" w:type="dxa"/>
              <w:end w:w="110" w:type="dxa"/>
            </w:tcMar>
            <w:vAlign w:val="center"/>
          </w:tcPr>
          <w:p>
            <w:pPr>
              <w:bidi w:val="1"/>
            </w:pPr>
            <w:r>
              <w:rPr>
                <w:rFonts w:ascii="Arial" w:hAnsi="Arial" w:eastAsia="Arial"/>
                <w:color w:val="1C2733"/>
                <w:sz w:val="18"/>
                <w:rtl w:val="1"/>
              </w:rPr>
              <w:t>أُعِدّ استناداً إلى إصدارات UK SRS الصادرة في 25 فبراير 2026؛ وروجع في 6 أغسطس 2026.</w:t>
            </w:r>
          </w:p>
        </w:tc>
      </w:tr>
    </w:tbl>
    <w:p/>
    <w:p>
      <w:pPr>
        <w:bidi w:val="1"/>
      </w:pPr>
      <w:r>
        <w:rPr>
          <w:rFonts w:ascii="Arial" w:hAnsi="Arial" w:eastAsia="Arial"/>
          <w:i/>
          <w:color w:val="66717F"/>
          <w:sz w:val="18"/>
          <w:rtl w:val="1"/>
        </w:rPr>
        <w:t>مواد تعليمية للممارسين. يجب تكييف الأمثلة التوضيحية والصياغات وإخضاعها لمراجعة فنية.</w:t>
      </w:r>
    </w:p>
    <w:p>
      <w:r>
        <w:br w:type="page"/>
      </w:r>
    </w:p>
    <w:tbl>
      <w:tblPr>
        <w:tblStyle w:val="TableGrid"/>
        <w:tblW w:type="auto" w:w="0"/>
        <w:tblLook w:firstColumn="1" w:firstRow="1" w:lastColumn="0" w:lastRow="0" w:noHBand="0" w:noVBand="1" w:val="04A0"/>
      </w:tblPr>
      <w:tblGrid>
        <w:gridCol w:w="9808"/>
      </w:tblGrid>
      <w:tr>
        <w:tc>
          <w:tcPr>
            <w:tcW w:type="dxa" w:w="9808"/>
            <w:shd w:fill="FFF4DD"/>
            <w:tcMar>
              <w:top w:w="120" w:type="dxa"/>
              <w:start w:w="150" w:type="dxa"/>
              <w:bottom w:w="120" w:type="dxa"/>
              <w:end w:w="150" w:type="dxa"/>
            </w:tcMar>
            <w:tcBorders>
              <w:top w:val="single" w:sz="4" w:color="B6C7D8"/>
              <w:bottom w:val="single" w:sz="4" w:color="B6C7D8"/>
              <w:right w:val="single" w:sz="4" w:color="B6C7D8"/>
              <w:left w:val="single" w:sz="18" w:color="B36B00"/>
            </w:tcBorders>
          </w:tcPr>
          <w:p>
            <w:pPr>
              <w:bidi w:val="1"/>
            </w:pPr>
            <w:r>
              <w:rPr>
                <w:rFonts w:ascii="Arial" w:hAnsi="Arial" w:eastAsia="Arial"/>
                <w:b/>
                <w:color w:val="B36B00"/>
                <w:sz w:val="20"/>
                <w:rtl w:val="1"/>
              </w:rPr>
              <w:t>ملاحظة الاستخدام هذه الجداول هي مساعدات عمل، وليس وصف UK نماذج SRS. تعديل الحقول والمالك ومستويات الموافقة على الكيان. إكمال الجدول لا يثبت التزامها بنفسه.</w:t>
              <w:br/>
            </w:r>
            <w:r>
              <w:rPr>
                <w:rFonts w:ascii="Arial" w:hAnsi="Arial" w:eastAsia="Arial"/>
                <w:color w:val="1C2733"/>
                <w:sz w:val="18"/>
                <w:rtl w:val="1"/>
              </w:rPr>
              <w:t/>
            </w:r>
          </w:p>
        </w:tc>
      </w:tr>
    </w:tbl>
    <w:p/>
    <w:p>
      <w:pPr>
        <w:pStyle w:val="Heading2"/>
        <w:keepNext/>
        <w:bidi w:val="1"/>
      </w:pPr>
      <w:r>
        <w:rPr>
          <w:rtl w:val="1"/>
        </w:rPr>
        <w:t>الأداة 1 - أساس الإبلاغ وقرار المطالبة</w:t>
      </w:r>
    </w:p>
    <w:tbl>
      <w:tblPr>
        <w:tblStyle w:val="TableGrid"/>
        <w:tblW w:type="auto" w:w="0"/>
        <w:jc w:val="center"/>
        <w:tblLook w:firstColumn="1" w:firstRow="1" w:lastColumn="0" w:lastRow="0" w:noHBand="0" w:noVBand="1" w:val="04A0"/>
      </w:tblPr>
      <w:tblGrid>
        <w:gridCol w:w="3269"/>
        <w:gridCol w:w="3269"/>
        <w:gridCol w:w="3269"/>
      </w:tblGrid>
      <w:tr>
        <w:trPr>
          <w:tblHeader w:val="true"/>
        </w:trPr>
        <w:tc>
          <w:tcPr>
            <w:tcW w:type="dxa" w:w="3269"/>
            <w:shd w:fill="173B6C"/>
            <w:tcMar>
              <w:top w:w="80" w:type="dxa"/>
              <w:start w:w="80" w:type="dxa"/>
              <w:bottom w:w="80" w:type="dxa"/>
              <w:end w:w="80" w:type="dxa"/>
            </w:tcMar>
          </w:tcPr>
          <w:p>
            <w:pPr>
              <w:bidi w:val="1"/>
            </w:pPr>
            <w:r>
              <w:rPr>
                <w:rFonts w:ascii="Arial" w:hAnsi="Arial" w:eastAsia="Arial"/>
                <w:b/>
                <w:color w:val="FFFFFF"/>
                <w:sz w:val="16"/>
                <w:rtl w:val="1"/>
              </w:rPr>
              <w:t>الحقل</w:t>
            </w:r>
          </w:p>
        </w:tc>
        <w:tc>
          <w:tcPr>
            <w:tcW w:type="dxa" w:w="3269"/>
            <w:shd w:fill="173B6C"/>
            <w:tcMar>
              <w:top w:w="80" w:type="dxa"/>
              <w:start w:w="80" w:type="dxa"/>
              <w:bottom w:w="80" w:type="dxa"/>
              <w:end w:w="80" w:type="dxa"/>
            </w:tcMar>
          </w:tcPr>
          <w:p>
            <w:pPr>
              <w:bidi w:val="1"/>
            </w:pPr>
            <w:r>
              <w:rPr>
                <w:rFonts w:ascii="Arial" w:hAnsi="Arial" w:eastAsia="Arial"/>
                <w:b/>
                <w:color w:val="FFFFFF"/>
                <w:sz w:val="16"/>
                <w:rtl w:val="1"/>
              </w:rPr>
              <w:t>القرار / وصف</w:t>
            </w:r>
          </w:p>
        </w:tc>
        <w:tc>
          <w:tcPr>
            <w:tcW w:type="dxa" w:w="3269"/>
            <w:shd w:fill="173B6C"/>
            <w:tcMar>
              <w:top w:w="80" w:type="dxa"/>
              <w:start w:w="80" w:type="dxa"/>
              <w:bottom w:w="80" w:type="dxa"/>
              <w:end w:w="80" w:type="dxa"/>
            </w:tcMar>
          </w:tcPr>
          <w:p>
            <w:pPr>
              <w:bidi w:val="1"/>
            </w:pPr>
            <w:r>
              <w:rPr>
                <w:rFonts w:ascii="Arial" w:hAnsi="Arial" w:eastAsia="Arial"/>
                <w:b/>
                <w:color w:val="FFFFFF"/>
                <w:sz w:val="16"/>
                <w:rtl w:val="1"/>
              </w:rPr>
              <w:t>دليل / صاحب</w:t>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الكيان المبلغ</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فترة الإبلاغ</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طريق الإبلاغ: طوعي / قانون / تنظيم</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المعايير والإصدارات المطبقة</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موقع الإبلاغ وتوقيت نشره</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الفقرة E3 المستخدمة؟</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المقصود UK SRS S1 بيان</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المقصود UK SRS S2 بيان</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الإطار أو الادعاءات الأخرى</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الإعفاءات والإعفاءات والمحدوديات</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الجهة المعتمدة والتاريخ</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محفزات تحديثات التنظيمية</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bl>
    <w:p/>
    <w:p>
      <w:pPr>
        <w:pStyle w:val="Heading2"/>
        <w:keepNext/>
        <w:bidi w:val="1"/>
      </w:pPr>
      <w:r>
        <w:rPr>
          <w:rtl w:val="1"/>
        </w:rPr>
        <w:t>الأداة 2 - خطة تنفيذية لمدة اثني عشر شهراً</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الشهر / المرحلة</w:t>
            </w:r>
          </w:p>
        </w:tc>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سير العمل والعمل</w:t>
            </w:r>
          </w:p>
        </w:tc>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المالك</w:t>
            </w:r>
          </w:p>
        </w:tc>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الإخراج / الموافقة</w:t>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1 - مؤسسة</w:t>
            </w:r>
          </w:p>
        </w:tc>
        <w:tc>
          <w:tcPr>
            <w:tcW w:type="dxa" w:w="2452"/>
            <w:shd w:fill="F4F6F8"/>
            <w:tcMar>
              <w:top w:w="75" w:type="dxa"/>
              <w:start w:w="80" w:type="dxa"/>
              <w:bottom w:w="75" w:type="dxa"/>
              <w:end w:w="80" w:type="dxa"/>
            </w:tcMar>
          </w:tcPr>
          <w:p>
            <w:pPr>
              <w:bidi w:val="1"/>
            </w:pPr>
            <w:r>
              <w:rPr>
                <w:rFonts w:ascii="Arial" w:hAnsi="Arial" w:eastAsia="Arial"/>
                <w:b w:val="0"/>
                <w:color w:val="1C2733"/>
                <w:sz w:val="15"/>
                <w:rtl w:val="1"/>
              </w:rPr>
              <w:t>تأكيد الأساس والطاق ومطالبة الحوكمة</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2 - مؤسسة</w:t>
            </w:r>
          </w:p>
        </w:tc>
        <w:tc>
          <w:tcPr>
            <w:tcW w:type="dxa" w:w="2452"/>
            <w:tcMar>
              <w:top w:w="75" w:type="dxa"/>
              <w:start w:w="80" w:type="dxa"/>
              <w:bottom w:w="75" w:type="dxa"/>
              <w:end w:w="80" w:type="dxa"/>
            </w:tcMar>
          </w:tcPr>
          <w:p>
            <w:pPr>
              <w:bidi w:val="1"/>
            </w:pPr>
            <w:r>
              <w:rPr>
                <w:rFonts w:ascii="Arial" w:hAnsi="Arial" w:eastAsia="Arial"/>
                <w:b w:val="0"/>
                <w:color w:val="1C2733"/>
                <w:sz w:val="15"/>
                <w:rtl w:val="1"/>
              </w:rPr>
              <w:t>نموذج الأعمال الخريطة، سلسلة القيمة والمصادر</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3 - تقييم</w:t>
            </w:r>
          </w:p>
        </w:tc>
        <w:tc>
          <w:tcPr>
            <w:tcW w:type="dxa" w:w="2452"/>
            <w:shd w:fill="F4F6F8"/>
            <w:tcMar>
              <w:top w:w="75" w:type="dxa"/>
              <w:start w:w="80" w:type="dxa"/>
              <w:bottom w:w="75" w:type="dxa"/>
              <w:end w:w="80" w:type="dxa"/>
            </w:tcMar>
          </w:tcPr>
          <w:p>
            <w:pPr>
              <w:bidi w:val="1"/>
            </w:pPr>
            <w:r>
              <w:rPr>
                <w:rFonts w:ascii="Arial" w:hAnsi="Arial" w:eastAsia="Arial"/>
                <w:b w:val="0"/>
                <w:color w:val="1C2733"/>
                <w:sz w:val="15"/>
                <w:rtl w:val="1"/>
              </w:rPr>
              <w:t>تحديد المخاطر والفرص</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4 - تقييم</w:t>
            </w:r>
          </w:p>
        </w:tc>
        <w:tc>
          <w:tcPr>
            <w:tcW w:type="dxa" w:w="2452"/>
            <w:tcMar>
              <w:top w:w="75" w:type="dxa"/>
              <w:start w:w="80" w:type="dxa"/>
              <w:bottom w:w="75" w:type="dxa"/>
              <w:end w:w="80" w:type="dxa"/>
            </w:tcMar>
          </w:tcPr>
          <w:p>
            <w:pPr>
              <w:bidi w:val="1"/>
            </w:pPr>
            <w:r>
              <w:rPr>
                <w:rFonts w:ascii="Arial" w:hAnsi="Arial" w:eastAsia="Arial"/>
                <w:b w:val="0"/>
                <w:color w:val="1C2733"/>
                <w:sz w:val="15"/>
                <w:rtl w:val="1"/>
              </w:rPr>
              <w:t>اكتمال التحديات ومدى سلسلة القيمة</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5 - تقييم</w:t>
            </w:r>
          </w:p>
        </w:tc>
        <w:tc>
          <w:tcPr>
            <w:tcW w:type="dxa" w:w="2452"/>
            <w:shd w:fill="F4F6F8"/>
            <w:tcMar>
              <w:top w:w="75" w:type="dxa"/>
              <w:start w:w="80" w:type="dxa"/>
              <w:bottom w:w="75" w:type="dxa"/>
              <w:end w:w="80" w:type="dxa"/>
            </w:tcMar>
          </w:tcPr>
          <w:p>
            <w:pPr>
              <w:bidi w:val="1"/>
            </w:pPr>
            <w:r>
              <w:rPr>
                <w:rFonts w:ascii="Arial" w:hAnsi="Arial" w:eastAsia="Arial"/>
                <w:b w:val="0"/>
                <w:color w:val="1C2733"/>
                <w:sz w:val="15"/>
                <w:rtl w:val="1"/>
              </w:rPr>
              <w:t>الموافقة على قرارات المعلومات المهمة</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6 -بني</w:t>
            </w:r>
          </w:p>
        </w:tc>
        <w:tc>
          <w:tcPr>
            <w:tcW w:type="dxa" w:w="2452"/>
            <w:tcMar>
              <w:top w:w="75" w:type="dxa"/>
              <w:start w:w="80" w:type="dxa"/>
              <w:bottom w:w="75" w:type="dxa"/>
              <w:end w:w="80" w:type="dxa"/>
            </w:tcMar>
          </w:tcPr>
          <w:p>
            <w:pPr>
              <w:bidi w:val="1"/>
            </w:pPr>
            <w:r>
              <w:rPr>
                <w:rFonts w:ascii="Arial" w:hAnsi="Arial" w:eastAsia="Arial"/>
                <w:b w:val="0"/>
                <w:color w:val="1C2733"/>
                <w:sz w:val="15"/>
                <w:rtl w:val="1"/>
              </w:rPr>
              <w:t>تطوير الركن الأربع UK SRS S2 خطط العمل</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7 -بني</w:t>
            </w:r>
          </w:p>
        </w:tc>
        <w:tc>
          <w:tcPr>
            <w:tcW w:type="dxa" w:w="2452"/>
            <w:shd w:fill="F4F6F8"/>
            <w:tcMar>
              <w:top w:w="75" w:type="dxa"/>
              <w:start w:w="80" w:type="dxa"/>
              <w:bottom w:w="75" w:type="dxa"/>
              <w:end w:w="80" w:type="dxa"/>
            </w:tcMar>
          </w:tcPr>
          <w:p>
            <w:pPr>
              <w:bidi w:val="1"/>
            </w:pPr>
            <w:r>
              <w:rPr>
                <w:rFonts w:ascii="Arial" w:hAnsi="Arial" w:eastAsia="Arial"/>
                <w:b w:val="0"/>
                <w:color w:val="1C2733"/>
                <w:sz w:val="15"/>
                <w:rtl w:val="1"/>
              </w:rPr>
              <w:t>تحديد المعايير والهدف وطلبات البيانات</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8 -بني</w:t>
            </w:r>
          </w:p>
        </w:tc>
        <w:tc>
          <w:tcPr>
            <w:tcW w:type="dxa" w:w="2452"/>
            <w:tcMar>
              <w:top w:w="75" w:type="dxa"/>
              <w:start w:w="80" w:type="dxa"/>
              <w:bottom w:w="75" w:type="dxa"/>
              <w:end w:w="80" w:type="dxa"/>
            </w:tcMar>
          </w:tcPr>
          <w:p>
            <w:pPr>
              <w:bidi w:val="1"/>
            </w:pPr>
            <w:r>
              <w:rPr>
                <w:rFonts w:ascii="Arial" w:hAnsi="Arial" w:eastAsia="Arial"/>
                <w:b w:val="0"/>
                <w:color w:val="1C2733"/>
                <w:sz w:val="15"/>
                <w:rtl w:val="1"/>
              </w:rPr>
              <w:t>تنفيذ سلسلة البيانات والأدلة والتحكم</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9 -بني</w:t>
            </w:r>
          </w:p>
        </w:tc>
        <w:tc>
          <w:tcPr>
            <w:tcW w:type="dxa" w:w="2452"/>
            <w:shd w:fill="F4F6F8"/>
            <w:tcMar>
              <w:top w:w="75" w:type="dxa"/>
              <w:start w:w="80" w:type="dxa"/>
              <w:bottom w:w="75" w:type="dxa"/>
              <w:end w:w="80" w:type="dxa"/>
            </w:tcMar>
          </w:tcPr>
          <w:p>
            <w:pPr>
              <w:bidi w:val="1"/>
            </w:pPr>
            <w:r>
              <w:rPr>
                <w:rFonts w:ascii="Arial" w:hAnsi="Arial" w:eastAsia="Arial"/>
                <w:b w:val="0"/>
                <w:color w:val="1C2733"/>
                <w:sz w:val="15"/>
                <w:rtl w:val="1"/>
              </w:rPr>
              <w:t>تحليل كامل للتأثيرات المالية</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10 - تقرير</w:t>
            </w:r>
          </w:p>
        </w:tc>
        <w:tc>
          <w:tcPr>
            <w:tcW w:type="dxa" w:w="2452"/>
            <w:tcMar>
              <w:top w:w="75" w:type="dxa"/>
              <w:start w:w="80" w:type="dxa"/>
              <w:bottom w:w="75" w:type="dxa"/>
              <w:end w:w="80" w:type="dxa"/>
            </w:tcMar>
          </w:tcPr>
          <w:p>
            <w:pPr>
              <w:bidi w:val="1"/>
            </w:pPr>
            <w:r>
              <w:rPr>
                <w:rFonts w:ascii="Arial" w:hAnsi="Arial" w:eastAsia="Arial"/>
                <w:b w:val="0"/>
                <w:color w:val="1C2733"/>
                <w:sz w:val="15"/>
                <w:rtl w:val="1"/>
              </w:rPr>
              <w:t>صياغة التقرير المرتبط وأساس التحضير</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11 - تقرير</w:t>
            </w:r>
          </w:p>
        </w:tc>
        <w:tc>
          <w:tcPr>
            <w:tcW w:type="dxa" w:w="2452"/>
            <w:shd w:fill="F4F6F8"/>
            <w:tcMar>
              <w:top w:w="75" w:type="dxa"/>
              <w:start w:w="80" w:type="dxa"/>
              <w:bottom w:w="75" w:type="dxa"/>
              <w:end w:w="80" w:type="dxa"/>
            </w:tcMar>
          </w:tcPr>
          <w:p>
            <w:pPr>
              <w:bidi w:val="1"/>
            </w:pPr>
            <w:r>
              <w:rPr>
                <w:rFonts w:ascii="Arial" w:hAnsi="Arial" w:eastAsia="Arial"/>
                <w:b w:val="0"/>
                <w:color w:val="1C2733"/>
                <w:sz w:val="15"/>
                <w:rtl w:val="1"/>
              </w:rPr>
              <w:t>إجراء مراجعات فنية ومالية وقانونية ومراقبة</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12 - تقرير</w:t>
            </w:r>
          </w:p>
        </w:tc>
        <w:tc>
          <w:tcPr>
            <w:tcW w:type="dxa" w:w="2452"/>
            <w:tcMar>
              <w:top w:w="75" w:type="dxa"/>
              <w:start w:w="80" w:type="dxa"/>
              <w:bottom w:w="75" w:type="dxa"/>
              <w:end w:w="80" w:type="dxa"/>
            </w:tcMar>
          </w:tcPr>
          <w:p>
            <w:pPr>
              <w:bidi w:val="1"/>
            </w:pPr>
            <w:r>
              <w:rPr>
                <w:rFonts w:ascii="Arial" w:hAnsi="Arial" w:eastAsia="Arial"/>
                <w:b w:val="0"/>
                <w:color w:val="1C2733"/>
                <w:sz w:val="15"/>
                <w:rtl w:val="1"/>
              </w:rPr>
              <w:t>الحصول على التقارير، وافق المجلس ونشر</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bl>
    <w:p/>
    <w:p>
      <w:pPr>
        <w:pStyle w:val="Heading2"/>
        <w:keepNext/>
        <w:bidi w:val="1"/>
      </w:pPr>
      <w:r>
        <w:rPr>
          <w:rtl w:val="1"/>
        </w:rPr>
        <w:t>الأداة 3 - الفقرة E3 سجل القرار السنوي</w:t>
      </w:r>
    </w:p>
    <w:tbl>
      <w:tblPr>
        <w:tblStyle w:val="TableGrid"/>
        <w:tblW w:type="auto" w:w="0"/>
        <w:jc w:val="center"/>
        <w:tblLook w:firstColumn="1" w:firstRow="1" w:lastColumn="0" w:lastRow="0" w:noHBand="0" w:noVBand="1" w:val="04A0"/>
      </w:tblPr>
      <w:tblGrid>
        <w:gridCol w:w="3269"/>
        <w:gridCol w:w="3269"/>
        <w:gridCol w:w="3269"/>
      </w:tblGrid>
      <w:tr>
        <w:trPr>
          <w:tblHeader w:val="true"/>
        </w:trPr>
        <w:tc>
          <w:tcPr>
            <w:tcW w:type="dxa" w:w="3269"/>
            <w:shd w:fill="173B6C"/>
            <w:tcMar>
              <w:top w:w="80" w:type="dxa"/>
              <w:start w:w="80" w:type="dxa"/>
              <w:bottom w:w="80" w:type="dxa"/>
              <w:end w:w="80" w:type="dxa"/>
            </w:tcMar>
          </w:tcPr>
          <w:p>
            <w:pPr>
              <w:bidi w:val="1"/>
            </w:pPr>
            <w:r>
              <w:rPr>
                <w:rFonts w:ascii="Arial" w:hAnsi="Arial" w:eastAsia="Arial"/>
                <w:b/>
                <w:color w:val="FFFFFF"/>
                <w:sz w:val="16"/>
                <w:rtl w:val="1"/>
              </w:rPr>
              <w:t>عامل القرار</w:t>
            </w:r>
          </w:p>
        </w:tc>
        <w:tc>
          <w:tcPr>
            <w:tcW w:type="dxa" w:w="3269"/>
            <w:shd w:fill="173B6C"/>
            <w:tcMar>
              <w:top w:w="80" w:type="dxa"/>
              <w:start w:w="80" w:type="dxa"/>
              <w:bottom w:w="80" w:type="dxa"/>
              <w:end w:w="80" w:type="dxa"/>
            </w:tcMar>
          </w:tcPr>
          <w:p>
            <w:pPr>
              <w:bidi w:val="1"/>
            </w:pPr>
            <w:r>
              <w:rPr>
                <w:rFonts w:ascii="Arial" w:hAnsi="Arial" w:eastAsia="Arial"/>
                <w:b/>
                <w:color w:val="FFFFFF"/>
                <w:sz w:val="16"/>
                <w:rtl w:val="1"/>
              </w:rPr>
              <w:t>التقييم</w:t>
            </w:r>
          </w:p>
        </w:tc>
        <w:tc>
          <w:tcPr>
            <w:tcW w:type="dxa" w:w="3269"/>
            <w:shd w:fill="173B6C"/>
            <w:tcMar>
              <w:top w:w="80" w:type="dxa"/>
              <w:start w:w="80" w:type="dxa"/>
              <w:bottom w:w="80" w:type="dxa"/>
              <w:end w:w="80" w:type="dxa"/>
            </w:tcMar>
          </w:tcPr>
          <w:p>
            <w:pPr>
              <w:bidi w:val="1"/>
            </w:pPr>
            <w:r>
              <w:rPr>
                <w:rFonts w:ascii="Arial" w:hAnsi="Arial" w:eastAsia="Arial"/>
                <w:b/>
                <w:color w:val="FFFFFF"/>
                <w:sz w:val="16"/>
                <w:rtl w:val="1"/>
              </w:rPr>
              <w:t>الأدلة / الإجراءات</w:t>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هل التقدم بطلبات طوعية أم إلزامية؟</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هل E3 متاحة بموجب القانون أو القواعد الحالية؟</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هل سيغيب المجال المناخي فقط عن معلومات مهمة بالفعل للمستثمرين؟</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هل يمكن للشركة أن تلبي جميع المعايير المطبقة؟ UK SRS S2 المتطلبات؟</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هل المجلس مريح أن لا UK SRS S1 هل سيتم تقديم طلب الامتثال؟</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ما هي العلاج المقارن الذي يطبق تحت E4؟</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ما هي العمليات غير المناخية التي يمكن تطويرها هذا العام؟</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متى سيتم إعادة النظر في استخدام E3؟</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الإنتهاء والموعد المعتمد</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bl>
    <w:p/>
    <w:p>
      <w:pPr>
        <w:pStyle w:val="Heading2"/>
        <w:keepNext/>
        <w:bidi w:val="1"/>
      </w:pPr>
      <w:r>
        <w:rPr>
          <w:rtl w:val="1"/>
        </w:rPr>
        <w:t>الأداة 4 - إدراج الموافقة والطالبات العامة</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المنشور / القناة</w:t>
            </w:r>
          </w:p>
        </w:tc>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نص مشروع</w:t>
            </w:r>
          </w:p>
        </w:tc>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الأساس التقني</w:t>
            </w:r>
          </w:p>
        </w:tc>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المراجعة / حالة</w:t>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أساس التحضير</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مؤشر المعايير</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المديرين ورقة موافقة</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تقرير التأمين</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أبرز نقاط تقرير السنة</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بيانات الموقع و البيانات المتعددة لسيئوه</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تقديم المستثمرين</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إعلان صحفي</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5"/>
                <w:rtl w:val="1"/>
              </w:rPr>
              <w:t>ردود على المناقشات / الاستبيانات</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pPr>
              <w:bidi w:val="1"/>
            </w:pPr>
            <w:r>
              <w:rPr>
                <w:rFonts w:ascii="Arial" w:hAnsi="Arial" w:eastAsia="Arial"/>
                <w:b/>
                <w:color w:val="1C2733"/>
                <w:sz w:val="15"/>
                <w:rtl w:val="1"/>
              </w:rPr>
              <w:t>مساعد الذكاء الاصطناعي أو إجابة البوتات</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bl>
    <w:p/>
    <w:p>
      <w:pPr>
        <w:pStyle w:val="Heading2"/>
        <w:keepNext/>
        <w:bidi w:val="1"/>
      </w:pPr>
      <w:r>
        <w:rPr>
          <w:rtl w:val="1"/>
        </w:rPr>
        <w:t>الأداة 5 - سجل المخاطر والفرص</w:t>
      </w:r>
    </w:p>
    <w:tbl>
      <w:tblPr>
        <w:tblStyle w:val="TableGrid"/>
        <w:tblW w:type="auto" w:w="0"/>
        <w:jc w:val="center"/>
        <w:tblLook w:firstColumn="1" w:firstRow="1" w:lastColumn="0" w:lastRow="0" w:noHBand="0" w:noVBand="1" w:val="04A0"/>
      </w:tblPr>
      <w:tblGrid>
        <w:gridCol w:w="4904"/>
        <w:gridCol w:w="4904"/>
      </w:tblGrid>
      <w:tr>
        <w:trPr>
          <w:tblHeader w:val="true"/>
        </w:trPr>
        <w:tc>
          <w:tcPr>
            <w:tcW w:type="dxa" w:w="4904"/>
            <w:shd w:fill="173B6C"/>
            <w:tcMar>
              <w:top w:w="80" w:type="dxa"/>
              <w:start w:w="80" w:type="dxa"/>
              <w:bottom w:w="80" w:type="dxa"/>
              <w:end w:w="80" w:type="dxa"/>
            </w:tcMar>
          </w:tcPr>
          <w:p>
            <w:pPr>
              <w:bidi w:val="1"/>
            </w:pPr>
            <w:r>
              <w:rPr>
                <w:rFonts w:ascii="Arial" w:hAnsi="Arial" w:eastAsia="Arial"/>
                <w:b/>
                <w:color w:val="FFFFFF"/>
                <w:sz w:val="16"/>
                <w:rtl w:val="1"/>
              </w:rPr>
              <w:t>الحقل</w:t>
            </w:r>
          </w:p>
        </w:tc>
        <w:tc>
          <w:tcPr>
            <w:tcW w:type="dxa" w:w="4904"/>
            <w:shd w:fill="173B6C"/>
            <w:tcMar>
              <w:top w:w="80" w:type="dxa"/>
              <w:start w:w="80" w:type="dxa"/>
              <w:bottom w:w="80" w:type="dxa"/>
              <w:end w:w="80" w:type="dxa"/>
            </w:tcMar>
          </w:tcPr>
          <w:p>
            <w:pPr>
              <w:bidi w:val="1"/>
            </w:pPr>
            <w:r>
              <w:rPr>
                <w:rFonts w:ascii="Arial" w:hAnsi="Arial" w:eastAsia="Arial"/>
                <w:b/>
                <w:color w:val="FFFFFF"/>
                <w:sz w:val="16"/>
                <w:rtl w:val="1"/>
              </w:rPr>
              <w:t>الدخول</w:t>
            </w:r>
          </w:p>
        </w:tc>
      </w:tr>
      <w:tr>
        <w:tc>
          <w:tcPr>
            <w:tcW w:type="dxa" w:w="4904"/>
            <w:shd w:fill="F4F6F8"/>
            <w:tcMar>
              <w:top w:w="75" w:type="dxa"/>
              <w:start w:w="80" w:type="dxa"/>
              <w:bottom w:w="75" w:type="dxa"/>
              <w:end w:w="80" w:type="dxa"/>
            </w:tcMar>
          </w:tcPr>
          <w:p>
            <w:pPr>
              <w:bidi w:val="1"/>
            </w:pPr>
            <w:r>
              <w:rPr>
                <w:rFonts w:ascii="Arial" w:hAnsi="Arial" w:eastAsia="Arial"/>
                <w:b/>
                <w:color w:val="1C2733"/>
                <w:sz w:val="16"/>
                <w:rtl w:val="1"/>
              </w:rPr>
              <w:t>هوية السجل والعنوان المحدد</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pPr>
              <w:bidi w:val="1"/>
            </w:pPr>
            <w:r>
              <w:rPr>
                <w:rFonts w:ascii="Arial" w:hAnsi="Arial" w:eastAsia="Arial"/>
                <w:b/>
                <w:color w:val="1C2733"/>
                <w:sz w:val="16"/>
                <w:rtl w:val="1"/>
              </w:rPr>
              <w:t>المخاطر / الفرص / كليهما</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pPr>
              <w:bidi w:val="1"/>
            </w:pPr>
            <w:r>
              <w:rPr>
                <w:rFonts w:ascii="Arial" w:hAnsi="Arial" w:eastAsia="Arial"/>
                <w:b/>
                <w:color w:val="1C2733"/>
                <w:sz w:val="16"/>
                <w:rtl w:val="1"/>
              </w:rPr>
              <w:t>نموذج الأعمال أو موقع سلسلة القيمة</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pPr>
              <w:bidi w:val="1"/>
            </w:pPr>
            <w:r>
              <w:rPr>
                <w:rFonts w:ascii="Arial" w:hAnsi="Arial" w:eastAsia="Arial"/>
                <w:b/>
                <w:color w:val="1C2733"/>
                <w:sz w:val="16"/>
                <w:rtl w:val="1"/>
              </w:rPr>
              <w:t>الاعتماد أو التأثير أو القيادة الخارجية</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pPr>
              <w:bidi w:val="1"/>
            </w:pPr>
            <w:r>
              <w:rPr>
                <w:rFonts w:ascii="Arial" w:hAnsi="Arial" w:eastAsia="Arial"/>
                <w:b/>
                <w:color w:val="1C2733"/>
                <w:sz w:val="16"/>
                <w:rtl w:val="1"/>
              </w:rPr>
              <w:t>طريق النقل المالي</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pPr>
              <w:bidi w:val="1"/>
            </w:pPr>
            <w:r>
              <w:rPr>
                <w:rFonts w:ascii="Arial" w:hAnsi="Arial" w:eastAsia="Arial"/>
                <w:b/>
                <w:color w:val="1C2733"/>
                <w:sz w:val="16"/>
                <w:rtl w:val="1"/>
              </w:rPr>
              <w:t>الأفق القصير / المتوسط / الطويل الأجل</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pPr>
              <w:bidi w:val="1"/>
            </w:pPr>
            <w:r>
              <w:rPr>
                <w:rFonts w:ascii="Arial" w:hAnsi="Arial" w:eastAsia="Arial"/>
                <w:b/>
                <w:color w:val="1C2733"/>
                <w:sz w:val="16"/>
                <w:rtl w:val="1"/>
              </w:rPr>
              <w:t>أسباب توقعات معقولة</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pPr>
              <w:bidi w:val="1"/>
            </w:pPr>
            <w:r>
              <w:rPr>
                <w:rFonts w:ascii="Arial" w:hAnsi="Arial" w:eastAsia="Arial"/>
                <w:b/>
                <w:color w:val="1C2733"/>
                <w:sz w:val="16"/>
                <w:rtl w:val="1"/>
              </w:rPr>
              <w:t>المصادر الداخلية والخارجية</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pPr>
              <w:bidi w:val="1"/>
            </w:pPr>
            <w:r>
              <w:rPr>
                <w:rFonts w:ascii="Arial" w:hAnsi="Arial" w:eastAsia="Arial"/>
                <w:b/>
                <w:color w:val="1C2733"/>
                <w:sz w:val="16"/>
                <w:rtl w:val="1"/>
              </w:rPr>
              <w:t>عرض سلسلة القيمة، وكلاء وفرق</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pPr>
              <w:bidi w:val="1"/>
            </w:pPr>
            <w:r>
              <w:rPr>
                <w:rFonts w:ascii="Arial" w:hAnsi="Arial" w:eastAsia="Arial"/>
                <w:b/>
                <w:color w:val="1C2733"/>
                <w:sz w:val="16"/>
                <w:rtl w:val="1"/>
              </w:rPr>
              <w:t>الضوابط القائمة والرد الاستراتيجي</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pPr>
              <w:bidi w:val="1"/>
            </w:pPr>
            <w:r>
              <w:rPr>
                <w:rFonts w:ascii="Arial" w:hAnsi="Arial" w:eastAsia="Arial"/>
                <w:b/>
                <w:color w:val="1C2733"/>
                <w:sz w:val="16"/>
                <w:rtl w:val="1"/>
              </w:rPr>
              <w:t>حالة المادة والإفصاح المرتبط بها</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pPr>
              <w:bidi w:val="1"/>
            </w:pPr>
            <w:r>
              <w:rPr>
                <w:rFonts w:ascii="Arial" w:hAnsi="Arial" w:eastAsia="Arial"/>
                <w:b/>
                <w:color w:val="1C2733"/>
                <w:sz w:val="16"/>
                <w:rtl w:val="1"/>
              </w:rPr>
              <w:t>المالك والمراجع ومؤدي إعادة التقييم</w:t>
            </w:r>
          </w:p>
        </w:tc>
        <w:tc>
          <w:tcPr>
            <w:tcW w:type="dxa" w:w="4904"/>
            <w:tcMar>
              <w:top w:w="75" w:type="dxa"/>
              <w:start w:w="80" w:type="dxa"/>
              <w:bottom w:w="75" w:type="dxa"/>
              <w:end w:w="80" w:type="dxa"/>
            </w:tcMar>
          </w:tcPr>
          <w:p>
            <w:r>
              <w:rPr>
                <w:rFonts w:ascii="Arial" w:hAnsi="Arial" w:eastAsia="Arial"/>
                <w:b w:val="0"/>
                <w:color w:val="1C2733"/>
                <w:sz w:val="16"/>
              </w:rPr>
            </w:r>
          </w:p>
        </w:tc>
      </w:tr>
    </w:tbl>
    <w:p/>
    <w:p>
      <w:pPr>
        <w:pStyle w:val="Heading2"/>
        <w:keepNext/>
        <w:bidi w:val="1"/>
      </w:pPr>
      <w:r>
        <w:rPr>
          <w:rtl w:val="1"/>
        </w:rPr>
        <w:t>الأداة 6 - ماتريكس قرارات ملموسة للمستثمرين</w:t>
      </w:r>
    </w:p>
    <w:tbl>
      <w:tblPr>
        <w:tblStyle w:val="TableGrid"/>
        <w:tblW w:type="auto" w:w="0"/>
        <w:jc w:val="center"/>
        <w:tblLook w:firstColumn="1" w:firstRow="1" w:lastColumn="0" w:lastRow="0" w:noHBand="0" w:noVBand="1" w:val="04A0"/>
      </w:tblPr>
      <w:tblGrid>
        <w:gridCol w:w="3269"/>
        <w:gridCol w:w="3269"/>
        <w:gridCol w:w="3269"/>
      </w:tblGrid>
      <w:tr>
        <w:trPr>
          <w:tblHeader w:val="true"/>
        </w:trPr>
        <w:tc>
          <w:tcPr>
            <w:tcW w:type="dxa" w:w="3269"/>
            <w:shd w:fill="173B6C"/>
            <w:tcMar>
              <w:top w:w="80" w:type="dxa"/>
              <w:start w:w="80" w:type="dxa"/>
              <w:bottom w:w="80" w:type="dxa"/>
              <w:end w:w="80" w:type="dxa"/>
            </w:tcMar>
          </w:tcPr>
          <w:p>
            <w:pPr>
              <w:bidi w:val="1"/>
            </w:pPr>
            <w:r>
              <w:rPr>
                <w:rFonts w:ascii="Arial" w:hAnsi="Arial" w:eastAsia="Arial"/>
                <w:b/>
                <w:color w:val="FFFFFF"/>
                <w:sz w:val="16"/>
                <w:rtl w:val="1"/>
              </w:rPr>
              <w:t>الأبعاد</w:t>
            </w:r>
          </w:p>
        </w:tc>
        <w:tc>
          <w:tcPr>
            <w:tcW w:type="dxa" w:w="3269"/>
            <w:shd w:fill="173B6C"/>
            <w:tcMar>
              <w:top w:w="80" w:type="dxa"/>
              <w:start w:w="80" w:type="dxa"/>
              <w:bottom w:w="80" w:type="dxa"/>
              <w:end w:w="80" w:type="dxa"/>
            </w:tcMar>
          </w:tcPr>
          <w:p>
            <w:pPr>
              <w:bidi w:val="1"/>
            </w:pPr>
            <w:r>
              <w:rPr>
                <w:rFonts w:ascii="Arial" w:hAnsi="Arial" w:eastAsia="Arial"/>
                <w:b/>
                <w:color w:val="FFFFFF"/>
                <w:sz w:val="16"/>
                <w:rtl w:val="1"/>
              </w:rPr>
              <w:t>التقييم والدليل</w:t>
            </w:r>
          </w:p>
        </w:tc>
        <w:tc>
          <w:tcPr>
            <w:tcW w:type="dxa" w:w="3269"/>
            <w:shd w:fill="173B6C"/>
            <w:tcMar>
              <w:top w:w="80" w:type="dxa"/>
              <w:start w:w="80" w:type="dxa"/>
              <w:bottom w:w="80" w:type="dxa"/>
              <w:end w:w="80" w:type="dxa"/>
            </w:tcMar>
          </w:tcPr>
          <w:p>
            <w:pPr>
              <w:bidi w:val="1"/>
            </w:pPr>
            <w:r>
              <w:rPr>
                <w:rFonts w:ascii="Arial" w:hAnsi="Arial" w:eastAsia="Arial"/>
                <w:b/>
                <w:color w:val="FFFFFF"/>
                <w:sz w:val="16"/>
                <w:rtl w:val="1"/>
              </w:rPr>
              <w:t>الاستنتاج / المنطق</w:t>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قرار المستخدم الرئيسي</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مسار المواجهات</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الطبيعة / الاهتمام النوعي</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الكبيرة / تركيز</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احتمالية ومتوسع النتائج</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التوقيت والعكسية</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الجمع مع المعلومات الأخرى</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التجميع / التجزئة</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إخفاء المعلومات وتقديم التقارير</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pPr>
              <w:bidi w:val="1"/>
            </w:pPr>
            <w:r>
              <w:rPr>
                <w:rFonts w:ascii="Arial" w:hAnsi="Arial" w:eastAsia="Arial"/>
                <w:b/>
                <w:color w:val="1C2733"/>
                <w:sz w:val="16"/>
                <w:rtl w:val="1"/>
              </w:rPr>
              <w:t>القرار: الكشف / الجمع / غير المادة / مراقبة</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pPr>
              <w:bidi w:val="1"/>
            </w:pPr>
            <w:r>
              <w:rPr>
                <w:rFonts w:ascii="Arial" w:hAnsi="Arial" w:eastAsia="Arial"/>
                <w:b/>
                <w:color w:val="1C2733"/>
                <w:sz w:val="16"/>
                <w:rtl w:val="1"/>
              </w:rPr>
              <w:t>الموافقة والتواريخ</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bl>
    <w:p/>
    <w:p>
      <w:pPr>
        <w:pStyle w:val="Heading2"/>
        <w:keepNext/>
        <w:bidi w:val="1"/>
      </w:pPr>
      <w:r>
        <w:rPr>
          <w:rtl w:val="1"/>
        </w:rPr>
        <w:t>الأداة 7 - سجل المقاييس والبيانات والأدلة</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المقياس / الإفصاح</w:t>
            </w:r>
          </w:p>
        </w:tc>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التعريف والحدود</w:t>
            </w:r>
          </w:p>
        </w:tc>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المصدر / الطريقة</w:t>
            </w:r>
          </w:p>
        </w:tc>
        <w:tc>
          <w:tcPr>
            <w:tcW w:type="dxa" w:w="2452"/>
            <w:shd w:fill="173B6C"/>
            <w:tcMar>
              <w:top w:w="80" w:type="dxa"/>
              <w:start w:w="80" w:type="dxa"/>
              <w:bottom w:w="80" w:type="dxa"/>
              <w:end w:w="80" w:type="dxa"/>
            </w:tcMar>
          </w:tcPr>
          <w:p>
            <w:pPr>
              <w:bidi w:val="1"/>
            </w:pPr>
            <w:r>
              <w:rPr>
                <w:rFonts w:ascii="Arial" w:hAnsi="Arial" w:eastAsia="Arial"/>
                <w:b/>
                <w:color w:val="FFFFFF"/>
                <w:sz w:val="15"/>
                <w:rtl w:val="1"/>
              </w:rPr>
              <w:t>المالك / السيطرة</w:t>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bl>
    <w:p/>
    <w:p>
      <w:pPr>
        <w:pStyle w:val="Heading2"/>
        <w:keepNext/>
        <w:bidi w:val="1"/>
      </w:pPr>
      <w:r>
        <w:rPr>
          <w:rtl w:val="1"/>
        </w:rPr>
        <w:t>الأداة 8 - الجسر للآثار المالية الحالية والمتوقعة</w:t>
      </w:r>
    </w:p>
    <w:tbl>
      <w:tblPr>
        <w:tblStyle w:val="TableGrid"/>
        <w:tblW w:type="auto" w:w="0"/>
        <w:jc w:val="center"/>
        <w:tblLook w:firstColumn="1" w:firstRow="1" w:lastColumn="0" w:lastRow="0" w:noHBand="0" w:noVBand="1" w:val="04A0"/>
      </w:tblPr>
      <w:tblGrid>
        <w:gridCol w:w="1962"/>
        <w:gridCol w:w="1962"/>
        <w:gridCol w:w="1962"/>
        <w:gridCol w:w="1962"/>
        <w:gridCol w:w="1962"/>
      </w:tblGrid>
      <w:tr>
        <w:trPr>
          <w:tblHeader w:val="true"/>
        </w:trPr>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المخاطر / الفرص</w:t>
            </w:r>
          </w:p>
        </w:tc>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الخط أو المسار المالي</w:t>
            </w:r>
          </w:p>
        </w:tc>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التأثير الحالي</w:t>
            </w:r>
          </w:p>
        </w:tc>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التأثير المتوقع / الأفق</w:t>
            </w:r>
          </w:p>
        </w:tc>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الافتراضات / الأدلة</w:t>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bl>
    <w:p/>
    <w:p>
      <w:pPr>
        <w:pStyle w:val="Heading2"/>
        <w:keepNext/>
        <w:bidi w:val="1"/>
      </w:pPr>
      <w:r>
        <w:rPr>
          <w:rtl w:val="1"/>
        </w:rPr>
        <w:t>الأداة 9 - خريطة الإفصاح والإشارة المتقاطعة</w:t>
      </w:r>
    </w:p>
    <w:tbl>
      <w:tblPr>
        <w:tblStyle w:val="TableGrid"/>
        <w:tblW w:type="auto" w:w="0"/>
        <w:jc w:val="center"/>
        <w:tblLook w:firstColumn="1" w:firstRow="1" w:lastColumn="0" w:lastRow="0" w:noHBand="0" w:noVBand="1" w:val="04A0"/>
      </w:tblPr>
      <w:tblGrid>
        <w:gridCol w:w="1962"/>
        <w:gridCol w:w="1962"/>
        <w:gridCol w:w="1962"/>
        <w:gridCol w:w="1962"/>
        <w:gridCol w:w="1962"/>
      </w:tblGrid>
      <w:tr>
        <w:trPr>
          <w:tblHeader w:val="true"/>
        </w:trPr>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المادة المادية</w:t>
            </w:r>
          </w:p>
        </w:tc>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الحكم</w:t>
            </w:r>
          </w:p>
        </w:tc>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الاستراتيجية / الآثار المالية</w:t>
            </w:r>
          </w:p>
        </w:tc>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إدارة المخاطر</w:t>
            </w:r>
          </w:p>
        </w:tc>
        <w:tc>
          <w:tcPr>
            <w:tcW w:type="dxa" w:w="1962"/>
            <w:shd w:fill="173B6C"/>
            <w:tcMar>
              <w:top w:w="80" w:type="dxa"/>
              <w:start w:w="80" w:type="dxa"/>
              <w:bottom w:w="80" w:type="dxa"/>
              <w:end w:w="80" w:type="dxa"/>
            </w:tcMar>
          </w:tcPr>
          <w:p>
            <w:pPr>
              <w:bidi w:val="1"/>
            </w:pPr>
            <w:r>
              <w:rPr>
                <w:rFonts w:ascii="Arial" w:hAnsi="Arial" w:eastAsia="Arial"/>
                <w:b/>
                <w:color w:val="FFFFFF"/>
                <w:sz w:val="14"/>
                <w:rtl w:val="1"/>
              </w:rPr>
              <w:t>المقاييس / الأهداف / الموقع</w:t>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bl>
    <w:p/>
    <w:p>
      <w:pPr>
        <w:pStyle w:val="Heading2"/>
        <w:keepNext/>
        <w:bidi w:val="1"/>
      </w:pPr>
      <w:r>
        <w:rPr>
          <w:rtl w:val="1"/>
        </w:rPr>
        <w:t>الأداة 10 - بوابة الموافقة النهائية</w:t>
      </w:r>
    </w:p>
    <w:p>
      <w:pPr>
        <w:bidi w:val="1"/>
      </w:pPr>
      <w:r>
        <w:rPr>
          <w:rFonts w:ascii="Arial" w:hAnsi="Arial" w:eastAsia="Arial"/>
          <w:rtl w:val="1"/>
        </w:rPr>
        <w:t>☐ النسخة النهائية للنشر تتطابق مع النسخه التي استعرضتها الإدارة والمجلس.</w:t>
      </w:r>
    </w:p>
    <w:p>
      <w:pPr>
        <w:bidi w:val="1"/>
      </w:pPr>
      <w:r>
        <w:rPr>
          <w:rFonts w:ascii="Arial" w:hAnsi="Arial" w:eastAsia="Arial"/>
          <w:rtl w:val="1"/>
        </w:rPr>
        <w:t>☐ أساس الإبلاغ والمعايير والتعليقات والإفصالات المقصودة واضحة.</w:t>
      </w:r>
    </w:p>
    <w:p>
      <w:pPr>
        <w:bidi w:val="1"/>
      </w:pPr>
      <w:r>
        <w:rPr>
          <w:rFonts w:ascii="Arial" w:hAnsi="Arial" w:eastAsia="Arial"/>
          <w:rtl w:val="1"/>
        </w:rPr>
        <w:t>☐ المخاطر والفرص المادية كاملة ويمكن تتبعها إلى السجلات المعتمدة.</w:t>
      </w:r>
    </w:p>
    <w:p>
      <w:pPr>
        <w:bidi w:val="1"/>
      </w:pPr>
      <w:r>
        <w:rPr>
          <w:rFonts w:ascii="Arial" w:hAnsi="Arial" w:eastAsia="Arial"/>
          <w:rtl w:val="1"/>
        </w:rPr>
        <w:t>☐ يتم توثيق قرارات المادة واختيارات التجميع.</w:t>
      </w:r>
    </w:p>
    <w:p>
      <w:pPr>
        <w:bidi w:val="1"/>
      </w:pPr>
      <w:r>
        <w:rPr>
          <w:rFonts w:ascii="Arial" w:hAnsi="Arial" w:eastAsia="Arial"/>
          <w:rtl w:val="1"/>
        </w:rPr>
        <w:t>☐ الحوكمة والاستراتيجية وإدارة المخاطر والمقاييس والأهداف مرتبطة.</w:t>
      </w:r>
    </w:p>
    <w:p>
      <w:pPr>
        <w:bidi w:val="1"/>
      </w:pPr>
      <w:r>
        <w:rPr>
          <w:rFonts w:ascii="Arial" w:hAnsi="Arial" w:eastAsia="Arial"/>
          <w:rtl w:val="1"/>
        </w:rPr>
        <w:t>☐ تم مراجعة الآثار المالية الحالية والمتوقعة من قبل المالي.</w:t>
      </w:r>
    </w:p>
    <w:p>
      <w:pPr>
        <w:bidi w:val="1"/>
      </w:pPr>
      <w:r>
        <w:rPr>
          <w:rFonts w:ascii="Arial" w:hAnsi="Arial" w:eastAsia="Arial"/>
          <w:rtl w:val="1"/>
        </w:rPr>
        <w:t>☐ UK SRS S2 يتم الإكتمال أو يتم الكشف عن استخدام الفقرة E3 والتحكم فيه.</w:t>
      </w:r>
    </w:p>
    <w:p>
      <w:pPr>
        <w:bidi w:val="1"/>
      </w:pPr>
      <w:r>
        <w:rPr>
          <w:rFonts w:ascii="Arial" w:hAnsi="Arial" w:eastAsia="Arial"/>
          <w:rtl w:val="1"/>
        </w:rPr>
        <w:t>☐ الأساليب والتقديرات وعدم اليقين والقيود والفجوات في البيانات شفافة.</w:t>
      </w:r>
    </w:p>
    <w:p>
      <w:pPr>
        <w:bidi w:val="1"/>
      </w:pPr>
      <w:r>
        <w:rPr>
          <w:rFonts w:ascii="Arial" w:hAnsi="Arial" w:eastAsia="Arial"/>
          <w:rtl w:val="1"/>
        </w:rPr>
        <w:t>☐ يتم الاحتفاظ بالبيانات والأدلة والسيطرة ووكالات الإدارة.</w:t>
      </w:r>
    </w:p>
    <w:p>
      <w:pPr>
        <w:bidi w:val="1"/>
      </w:pPr>
      <w:r>
        <w:rPr>
          <w:rFonts w:ascii="Arial" w:hAnsi="Arial" w:eastAsia="Arial"/>
          <w:rtl w:val="1"/>
        </w:rPr>
        <w:t>☐ يتم وصف نطاق التأكد بشكل منفصل عن الامتثال للمعايير.</w:t>
      </w:r>
    </w:p>
    <w:p>
      <w:pPr>
        <w:bidi w:val="1"/>
      </w:pPr>
      <w:r>
        <w:rPr>
          <w:rFonts w:ascii="Arial" w:hAnsi="Arial" w:eastAsia="Arial"/>
          <w:rtl w:val="1"/>
        </w:rPr>
        <w:t>☐ الادعاءات متسقة عبر جميع القنوات العامة.</w:t>
      </w:r>
    </w:p>
    <w:p>
      <w:pPr>
        <w:bidi w:val="1"/>
      </w:pPr>
      <w:r>
        <w:rPr>
          <w:rFonts w:ascii="Arial" w:hAnsi="Arial" w:eastAsia="Arial"/>
          <w:rtl w:val="1"/>
        </w:rPr>
        <w:t>☐ يتم تعيين عوامل مراقبة وتحديث ما بعد نشر.</w:t>
      </w:r>
    </w:p>
    <w:p>
      <w:pPr>
        <w:pStyle w:val="Heading2"/>
        <w:keepNext/>
        <w:bidi w:val="1"/>
      </w:pPr>
      <w:r>
        <w:rPr>
          <w:rtl w:val="1"/>
        </w:rPr>
        <w:t>سجل الموافقة</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pPr>
              <w:bidi w:val="1"/>
            </w:pPr>
            <w:r>
              <w:rPr>
                <w:rFonts w:ascii="Arial" w:hAnsi="Arial" w:eastAsia="Arial"/>
                <w:b/>
                <w:color w:val="FFFFFF"/>
                <w:sz w:val="16"/>
                <w:rtl w:val="1"/>
              </w:rPr>
              <w:t>الدور</w:t>
            </w:r>
          </w:p>
        </w:tc>
        <w:tc>
          <w:tcPr>
            <w:tcW w:type="dxa" w:w="2452"/>
            <w:shd w:fill="173B6C"/>
            <w:tcMar>
              <w:top w:w="80" w:type="dxa"/>
              <w:start w:w="80" w:type="dxa"/>
              <w:bottom w:w="80" w:type="dxa"/>
              <w:end w:w="80" w:type="dxa"/>
            </w:tcMar>
          </w:tcPr>
          <w:p>
            <w:pPr>
              <w:bidi w:val="1"/>
            </w:pPr>
            <w:r>
              <w:rPr>
                <w:rFonts w:ascii="Arial" w:hAnsi="Arial" w:eastAsia="Arial"/>
                <w:b/>
                <w:color w:val="FFFFFF"/>
                <w:sz w:val="16"/>
                <w:rtl w:val="1"/>
              </w:rPr>
              <w:t>الاسم</w:t>
            </w:r>
          </w:p>
        </w:tc>
        <w:tc>
          <w:tcPr>
            <w:tcW w:type="dxa" w:w="2452"/>
            <w:shd w:fill="173B6C"/>
            <w:tcMar>
              <w:top w:w="80" w:type="dxa"/>
              <w:start w:w="80" w:type="dxa"/>
              <w:bottom w:w="80" w:type="dxa"/>
              <w:end w:w="80" w:type="dxa"/>
            </w:tcMar>
          </w:tcPr>
          <w:p>
            <w:pPr>
              <w:bidi w:val="1"/>
            </w:pPr>
            <w:r>
              <w:rPr>
                <w:rFonts w:ascii="Arial" w:hAnsi="Arial" w:eastAsia="Arial"/>
                <w:b/>
                <w:color w:val="FFFFFF"/>
                <w:sz w:val="16"/>
                <w:rtl w:val="1"/>
              </w:rPr>
              <w:t>القرار / التاريخ</w:t>
            </w:r>
          </w:p>
        </w:tc>
        <w:tc>
          <w:tcPr>
            <w:tcW w:type="dxa" w:w="2452"/>
            <w:shd w:fill="173B6C"/>
            <w:tcMar>
              <w:top w:w="80" w:type="dxa"/>
              <w:start w:w="80" w:type="dxa"/>
              <w:bottom w:w="80" w:type="dxa"/>
              <w:end w:w="80" w:type="dxa"/>
            </w:tcMar>
          </w:tcPr>
          <w:p>
            <w:pPr>
              <w:bidi w:val="1"/>
            </w:pPr>
            <w:r>
              <w:rPr>
                <w:rFonts w:ascii="Arial" w:hAnsi="Arial" w:eastAsia="Arial"/>
                <w:b/>
                <w:color w:val="FFFFFF"/>
                <w:sz w:val="16"/>
                <w:rtl w:val="1"/>
              </w:rPr>
              <w:t>الإجراءات المفتوحة</w:t>
            </w:r>
          </w:p>
        </w:tc>
      </w:tr>
      <w:tr>
        <w:tc>
          <w:tcPr>
            <w:tcW w:type="dxa" w:w="2452"/>
            <w:shd w:fill="F4F6F8"/>
            <w:tcMar>
              <w:top w:w="75" w:type="dxa"/>
              <w:start w:w="80" w:type="dxa"/>
              <w:bottom w:w="75" w:type="dxa"/>
              <w:end w:w="80" w:type="dxa"/>
            </w:tcMar>
          </w:tcPr>
          <w:p>
            <w:pPr>
              <w:bidi w:val="1"/>
            </w:pPr>
            <w:r>
              <w:rPr>
                <w:rFonts w:ascii="Arial" w:hAnsi="Arial" w:eastAsia="Arial"/>
                <w:b/>
                <w:color w:val="1C2733"/>
                <w:sz w:val="16"/>
                <w:rtl w:val="1"/>
              </w:rPr>
              <w:t>مالك الإبلاغ</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r>
        <w:tc>
          <w:tcPr>
            <w:tcW w:type="dxa" w:w="2452"/>
            <w:tcMar>
              <w:top w:w="75" w:type="dxa"/>
              <w:start w:w="80" w:type="dxa"/>
              <w:bottom w:w="75" w:type="dxa"/>
              <w:end w:w="80" w:type="dxa"/>
            </w:tcMar>
          </w:tcPr>
          <w:p>
            <w:pPr>
              <w:bidi w:val="1"/>
            </w:pPr>
            <w:r>
              <w:rPr>
                <w:rFonts w:ascii="Arial" w:hAnsi="Arial" w:eastAsia="Arial"/>
                <w:b/>
                <w:color w:val="1C2733"/>
                <w:sz w:val="16"/>
                <w:rtl w:val="1"/>
              </w:rPr>
              <w:t>المدير المالي / المراجع المالي</w:t>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6"/>
                <w:rtl w:val="1"/>
              </w:rPr>
              <w:t>المراجعة المخاطر / الاستراتيجية</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r>
        <w:tc>
          <w:tcPr>
            <w:tcW w:type="dxa" w:w="2452"/>
            <w:tcMar>
              <w:top w:w="75" w:type="dxa"/>
              <w:start w:w="80" w:type="dxa"/>
              <w:bottom w:w="75" w:type="dxa"/>
              <w:end w:w="80" w:type="dxa"/>
            </w:tcMar>
          </w:tcPr>
          <w:p>
            <w:pPr>
              <w:bidi w:val="1"/>
            </w:pPr>
            <w:r>
              <w:rPr>
                <w:rFonts w:ascii="Arial" w:hAnsi="Arial" w:eastAsia="Arial"/>
                <w:b/>
                <w:color w:val="1C2733"/>
                <w:sz w:val="16"/>
                <w:rtl w:val="1"/>
              </w:rPr>
              <w:t>أمين الشركة / قانوني</w:t>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6"/>
                <w:rtl w:val="1"/>
              </w:rPr>
              <w:t>المراجعة الفنية</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r>
        <w:tc>
          <w:tcPr>
            <w:tcW w:type="dxa" w:w="2452"/>
            <w:tcMar>
              <w:top w:w="75" w:type="dxa"/>
              <w:start w:w="80" w:type="dxa"/>
              <w:bottom w:w="75" w:type="dxa"/>
              <w:end w:w="80" w:type="dxa"/>
            </w:tcMar>
          </w:tcPr>
          <w:p>
            <w:pPr>
              <w:bidi w:val="1"/>
            </w:pPr>
            <w:r>
              <w:rPr>
                <w:rFonts w:ascii="Arial" w:hAnsi="Arial" w:eastAsia="Arial"/>
                <w:b/>
                <w:color w:val="1C2733"/>
                <w:sz w:val="16"/>
                <w:rtl w:val="1"/>
              </w:rPr>
              <w:t>التحقيق الداخلي / الاستعداد للتأكد</w:t>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r>
      <w:tr>
        <w:tc>
          <w:tcPr>
            <w:tcW w:type="dxa" w:w="2452"/>
            <w:shd w:fill="F4F6F8"/>
            <w:tcMar>
              <w:top w:w="75" w:type="dxa"/>
              <w:start w:w="80" w:type="dxa"/>
              <w:bottom w:w="75" w:type="dxa"/>
              <w:end w:w="80" w:type="dxa"/>
            </w:tcMar>
          </w:tcPr>
          <w:p>
            <w:pPr>
              <w:bidi w:val="1"/>
            </w:pPr>
            <w:r>
              <w:rPr>
                <w:rFonts w:ascii="Arial" w:hAnsi="Arial" w:eastAsia="Arial"/>
                <w:b/>
                <w:color w:val="1C2733"/>
                <w:sz w:val="16"/>
                <w:rtl w:val="1"/>
              </w:rPr>
              <w:t>رئيس مجلس الإدارة أو اللجنة</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bl>
    <w:p/>
    <w:p>
      <w:pPr>
        <w:pStyle w:val="Heading2"/>
        <w:keepNext/>
        <w:bidi w:val="1"/>
      </w:pPr>
      <w:r>
        <w:rPr>
          <w:rtl w:val="1"/>
        </w:rPr>
        <w:t>المصادر والحالة والمراجعة</w:t>
      </w:r>
    </w:p>
    <w:p>
      <w:pPr>
        <w:bidi w:val="1"/>
      </w:pPr>
      <w:r>
        <w:rPr>
          <w:rtl w:val="1"/>
        </w:rPr>
        <w:t>المصادر الرسمية التي يتم الحفاظ عليها في هذه اللفة المدرجة أدناه. يحدد الفقرة الرئيسية المصادر التي تدعم هذا المادة مباشرة؛ وتقدم الإدخالات الأخرى سياق تنفيذ أو تنظيمي أو مقارنة مرتبط ارتباطا وثيقا.</w:t>
      </w:r>
    </w:p>
    <w:p>
      <w:pPr>
        <w:bidi w:val="1"/>
      </w:pPr>
      <w:r>
        <w:rPr>
          <w:rFonts w:ascii="Arial" w:hAnsi="Arial" w:eastAsia="Arial"/>
          <w:rtl w:val="1"/>
        </w:rPr>
        <w:t>SRC-01. UK SRS S1 المتطلبات العامة لمعلومات مالية تتعلق بالاستدامة - قسم الأعمال والتجارة، 25 فبراير 2026- النهائي UK القياسية، المصدر التنظيمي الأساسي. https://www.gov.uk/government/publications/uk-sustainability-reporting-standards-uk-srs-s1-and-uk-srs-s2</w:t>
      </w:r>
    </w:p>
    <w:p>
      <w:pPr>
        <w:bidi w:val="1"/>
      </w:pPr>
      <w:r>
        <w:rPr>
          <w:rFonts w:ascii="Arial" w:hAnsi="Arial" w:eastAsia="Arial"/>
          <w:rtl w:val="1"/>
        </w:rPr>
        <w:t>SRC-02. UK SRS S2 الإفصاحات المتعلقة بالمناخ - وزارة الأعمال والتجارة، 25 فبراير 2026- النهائي UK المعتاد: المصدر الأساسي للإبلاغ عن المناخ. https://www.gov.uk/government/publications/uk-sustainability-reporting-standards-uk-srs-s1-and-uk-srs-s2</w:t>
      </w:r>
    </w:p>
    <w:p>
      <w:pPr>
        <w:bidi w:val="1"/>
      </w:pPr>
      <w:r>
        <w:rPr>
          <w:rFonts w:ascii="Arial" w:hAnsi="Arial" w:eastAsia="Arial"/>
          <w:rtl w:val="1"/>
        </w:rPr>
        <w:t>SRC-03رد الحكومة على المشاورات حول UK معايير الإبلاغ عن الاستدامة - قسم الأعمال والتجارة، 25 فبراير 2026تفسير رسمي للنهائي UK التعديلات، الاستخدام الطوعي والعلاج الإغاثي. https://www.gov.uk/government/consultations/exposure-drafts-uk-sustainability-reporting-standards/outcome/government-response-to-the-consultation-on-uk-sustainability-reporting-standards-web-version</w:t>
      </w:r>
    </w:p>
    <w:p>
      <w:pPr>
        <w:bidi w:val="1"/>
      </w:pPr>
      <w:r>
        <w:rPr>
          <w:rFonts w:ascii="Arial" w:hAnsi="Arial" w:eastAsia="Arial"/>
          <w:rtl w:val="1"/>
        </w:rPr>
        <w:t>SRC-04. التطورات في تقرير الاستدامة: الأسئلة المتكررة - مجلس الإبلاغ المالي، تحديث 26 فبراير 2026رسمي UK سياق تنفيذها والسائح المتكررة. https://www.frc.org.uk/library/standards-codes-policy/accounting-and-reporting/annual-corporate-reporting/sustainability-reporting-developments-frequently-asked-questions/</w:t>
      </w:r>
    </w:p>
    <w:p>
      <w:pPr>
        <w:bidi w:val="1"/>
      </w:pPr>
      <w:r>
        <w:rPr>
          <w:rFonts w:ascii="Arial" w:hAnsi="Arial" w:eastAsia="Arial"/>
          <w:rtl w:val="1"/>
        </w:rPr>
        <w:t>SRC-05. CP26/5: توازن الإفصاحات عن الاستدامة من قبل أصحاب الصادرات المدرجة مع المعايير الدولية - هيئة السلوك المالي، 30 يناير 2026. استشارات مغلقة، وليس القواعد النهائية في 6 أغسطس 2026. https://www.fca.org.uk/publications/consultation-papers/cp26-5-sustainability-disclosures</w:t>
      </w:r>
    </w:p>
    <w:p>
      <w:pPr>
        <w:bidi w:val="1"/>
      </w:pPr>
      <w:r>
        <w:rPr>
          <w:rFonts w:ascii="Arial" w:hAnsi="Arial" w:eastAsia="Arial"/>
          <w:rtl w:val="1"/>
        </w:rPr>
        <w:t>SRC-06- إرشادات بشأن التقرير الاستراتيجي - مجلس الإبلاغ المالي، 4 فبراير 2026الإرشاد الرسمي غير الاختياري . UK السياق في الإبلاغ السنوي عن الاتصال. https://www.frc.org.uk/library/standards-codes-policy/accounting-and-reporting/annual-corporate-reporting/guidance-on-the-strategic-report/</w:t>
      </w:r>
    </w:p>
    <w:p>
      <w:pPr>
        <w:bidi w:val="1"/>
      </w:pPr>
      <w:r>
        <w:rPr>
          <w:rFonts w:ascii="Arial" w:hAnsi="Arial" w:eastAsia="Arial"/>
          <w:rtl w:val="1"/>
        </w:rPr>
        <w:t>SRC-07. IFRS S1 المتطلبات العامة لإفصاح المعلومات المالية المتعلقة بالاستدامة - IFRS مؤسسة (يونيو) 2023المعيار الدولي: مصدر مقارنة للثنائي UK/IFRS الادعاءات. https://www.ifrs.org/issued-standards/ifrs-sustainability-standards-navigator/ifrs-s1-general-requirements/</w:t>
      </w:r>
    </w:p>
    <w:tbl>
      <w:tblPr>
        <w:tblStyle w:val="TableGrid"/>
        <w:tblW w:type="auto" w:w="0"/>
        <w:tblLook w:firstColumn="1" w:firstRow="1" w:lastColumn="0" w:lastRow="0" w:noHBand="0" w:noVBand="1" w:val="04A0"/>
      </w:tblPr>
      <w:tblGrid>
        <w:gridCol w:w="9808"/>
      </w:tblGrid>
      <w:tr>
        <w:tc>
          <w:tcPr>
            <w:tcW w:type="dxa" w:w="9808"/>
            <w:shd w:fill="E8F3F3"/>
            <w:tcMar>
              <w:top w:w="120" w:type="dxa"/>
              <w:start w:w="150" w:type="dxa"/>
              <w:bottom w:w="120" w:type="dxa"/>
              <w:end w:w="150" w:type="dxa"/>
            </w:tcMar>
            <w:tcBorders>
              <w:top w:val="single" w:sz="4" w:color="B6C7D8"/>
              <w:bottom w:val="single" w:sz="4" w:color="B6C7D8"/>
              <w:right w:val="single" w:sz="4" w:color="B6C7D8"/>
              <w:left w:val="single" w:sz="18" w:color="2E7B8A"/>
            </w:tcBorders>
          </w:tcPr>
          <w:p>
            <w:pPr>
              <w:bidi w:val="1"/>
            </w:pPr>
            <w:r>
              <w:rPr>
                <w:rFonts w:ascii="Arial" w:hAnsi="Arial" w:eastAsia="Arial"/>
                <w:b/>
                <w:color w:val="2E7B8A"/>
                <w:sz w:val="20"/>
                <w:rtl w:val="1"/>
              </w:rPr>
              <w:t>مُركبات الفقرة الرئيسية
UK SRS S1 و UK SRS S2, في نهاية فبراير 2026 الإصدارات؛ المواد الخمسة ذات الصلة في مركز المعرفة في هذه الحزمة.</w:t>
              <w:br/>
            </w:r>
            <w:r>
              <w:rPr>
                <w:rFonts w:ascii="Arial" w:hAnsi="Arial" w:eastAsia="Arial"/>
                <w:color w:val="1C2733"/>
                <w:sz w:val="18"/>
                <w:rtl w:val="1"/>
              </w:rPr>
              <w:t/>
            </w:r>
          </w:p>
        </w:tc>
      </w:tr>
    </w:tbl>
    <w:p/>
    <w:p>
      <w:pPr>
        <w:bidi w:val="1"/>
      </w:pPr>
      <w:r>
        <w:rPr>
          <w:rFonts w:ascii="Arial" w:hAnsi="Arial" w:eastAsia="Arial"/>
          <w:rtl w:val="1"/>
        </w:rPr>
        <w:t>تاريخ المراجعة الفنية: 6 أغسطس 2026- المُتَعَدِّل UK يجب إعادة التحقق من الموقف التنظيمي لـ SRS قبل نشر أو استخدامها في دورة الإبلاغ الحية.5 لا يزال مقترحاً في تاريخ المراجعة هذا، ولا يعامل هنا كقانون أو قواعد نهائية.</w:t>
      </w:r>
    </w:p>
    <w:sectPr>
      <w:headerReference w:type="default" r:id="rId9"/>
      <w:footerReference w:type="default" r:id="rId10"/>
      <w:pgSz w:w="11906" w:h="16838"/>
      <w:pgMar w:top="1020" w:right="1049" w:bottom="879" w:left="1049"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1"/>
    </w:pPr>
    <w:r>
      <w:rPr>
        <w:rtl w:val="1"/>
      </w:rPr>
      <w:t xml:space="preserve">UKSRS1-TOOL-006  ‬ ‫تم مراجعتها 6 أغسطس 2026  |  </w:t>
    </w:r>
    <w:r>
      <w:rPr>
        <w:rtl w:val="1"/>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color="4C86B8" w:space="4"/>
      </w:pBdr>
      <w:bidi w:val="1"/>
    </w:pPr>
    <w:r>
      <w:rPr>
        <w:rtl w:val="1"/>
      </w:rPr>
      <w:t>LONDON REPORTING ACADEMY  ·  مركز المعرفة  ·  UK SRS S1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4" w:lineRule="auto"/>
    </w:pPr>
    <w:rPr>
      <w:rFonts w:ascii="Arial" w:hAnsi="Arial"/>
      <w:color w:val="1821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D3068"/>
      <w:sz w:val="31"/>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1E5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0D306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59636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spacing w:after="140"/>
    </w:pPr>
    <w:rPr>
      <w:rFonts w:ascii="Arial" w:hAnsi="Arial"/>
      <w:i/>
      <w:color w:val="5963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assets.publishing.service.gov.uk/media/699dd3b007d7bff3604d6c5e/uk_srs_1_general_requirements_for_disclosure_of_sustainability_related_financial_information.pdf" TargetMode="External"/><Relationship Id="rId14" Type="http://schemas.openxmlformats.org/officeDocument/2006/relationships/hyperlink" Target="https://assets.publishing.service.gov.uk/media/699ddf22532c9ad91ebbcc2b/uk_srs_s2_climate_related_disclosures.pdf" TargetMode="External"/><Relationship Id="rId15" Type="http://schemas.openxmlformats.org/officeDocument/2006/relationships/hyperlink" Target="https://www.gov.uk/government/consultations/exposure-drafts-uk-sustainability-reporting-standards/outcome/government-response-to-the-consultation-on-uk-sustainability-reporting-standards-web-version" TargetMode="External"/><Relationship Id="rId16" Type="http://schemas.openxmlformats.org/officeDocument/2006/relationships/hyperlink" Target="https://www.frc.org.uk/library/standards-codes-policy/accounting-and-reporting/annual-corporate-reporting/sustainability-reporting-developments-frequently-asked-questions/" TargetMode="External"/><Relationship Id="rId17" Type="http://schemas.openxmlformats.org/officeDocument/2006/relationships/hyperlink" Target="https://www.fca.org.uk/publications/consultation-papers/cp26-5-sustainability-disclosures" TargetMode="External"/><Relationship Id="rId18" Type="http://schemas.openxmlformats.org/officeDocument/2006/relationships/hyperlink" Target="https://www.frc.org.uk/library/standards-codes-policy/accounting-and-reporting/annual-corporate-reporting/guidance-on-the-strategic-report/" TargetMode="External"/><Relationship Id="rId19" Type="http://schemas.openxmlformats.org/officeDocument/2006/relationships/hyperlink" Target="https://www.frc.org.uk/library/standards-codes-policy/corporate-governance/uk-corporate-governance-code/" TargetMode="External"/><Relationship Id="rId20" Type="http://schemas.openxmlformats.org/officeDocument/2006/relationships/hyperlink" Target="https://www.frc.org.uk/docs/9420/html/" TargetMode="External"/><Relationship Id="rId21" Type="http://schemas.openxmlformats.org/officeDocument/2006/relationships/hyperlink" Target="https://www.frc.org.uk/library/standards-codes-policy/audit-assurance-and-ethics/assurance-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S1 First-Cycle Working Toolkit</dc:title>
  <dc:subject>Editable registers and approval aids for reporting basis, implementation planning, paragraph E3, claims, materiality, risk and opportunity identification, metrics, financial effects and board sign-off.</dc:subject>
  <dc:creator/>
  <cp:keywords>UK SRS S1, UK sustainability reporting, materiality, climate-only relief, sustainability-related risks and opportunities</cp:keywords>
  <dc:description>Reviewed 2 August 2026</dc:description>
  <cp:lastModifiedBy/>
  <cp:revision>1</cp:revision>
  <dcterms:created xsi:type="dcterms:W3CDTF">2013-12-23T23:15:00Z</dcterms:created>
  <dcterms:modified xsi:type="dcterms:W3CDTF">2013-12-23T23:15:00Z</dcterms:modified>
  <cp:category/>
</cp:coreProperties>
</file>