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drawing>
          <wp:inline xmlns:a="http://schemas.openxmlformats.org/drawingml/2006/main" xmlns:pic="http://schemas.openxmlformats.org/drawingml/2006/picture">
            <wp:extent cx="4023360" cy="667031"/>
            <wp:docPr id="1" name="Picture 1"/>
            <wp:cNvGraphicFramePr>
              <a:graphicFrameLocks noChangeAspect="1"/>
            </wp:cNvGraphicFramePr>
            <a:graphic>
              <a:graphicData uri="http://schemas.openxmlformats.org/drawingml/2006/picture">
                <pic:pic>
                  <pic:nvPicPr>
                    <pic:cNvPr id="0" name="LRA_logo.png"/>
                    <pic:cNvPicPr/>
                  </pic:nvPicPr>
                  <pic:blipFill>
                    <a:blip r:embed="rId11"/>
                    <a:stretch>
                      <a:fillRect/>
                    </a:stretch>
                  </pic:blipFill>
                  <pic:spPr>
                    <a:xfrm>
                      <a:off x="0" y="0"/>
                      <a:ext cx="4023360" cy="667031"/>
                    </a:xfrm>
                    <a:prstGeom prst="rect"/>
                  </pic:spPr>
                </pic:pic>
              </a:graphicData>
            </a:graphic>
          </wp:inline>
        </w:drawing>
      </w:r>
    </w:p>
    <w:p>
      <w:pPr>
        <w:spacing w:before="160" w:after="160"/>
        <w:bidi w:val="1"/>
      </w:pPr>
      <w:r>
        <w:rPr>
          <w:rFonts w:ascii="Arial" w:hAnsi="Arial"/>
          <w:b/>
          <w:color w:val="1E5A8A"/>
          <w:sz w:val="21"/>
          <w:rtl w:val="1"/>
        </w:rPr>
        <w:t>LRA مركز المعرفة  ·  UK SRS S1</w:t>
      </w:r>
    </w:p>
    <w:p>
      <w:pPr>
        <w:pStyle w:val="Title"/>
        <w:spacing w:after="200"/>
        <w:bidi w:val="1"/>
      </w:pPr>
      <w:r>
        <w:rPr>
          <w:rFonts w:ascii="Arial" w:hAnsi="Arial"/>
          <w:b/>
          <w:color w:val="0D3068"/>
          <w:sz w:val="54"/>
          <w:rtl w:val="1"/>
        </w:rPr>
        <w:t>UK SRS S1 نموذج تقرير - أداة إعداد المخططات التي يمكن تحريرها</w:t>
      </w:r>
    </w:p>
    <w:p>
      <w:pPr>
        <w:pStyle w:val="Subtitle"/>
        <w:spacing w:after="300"/>
        <w:bidi w:val="1"/>
      </w:pPr>
      <w:r>
        <w:rPr>
          <w:rFonts w:ascii="Arial" w:hAnsi="Arial"/>
          <w:color w:val="59636E"/>
          <w:sz w:val="24"/>
          <w:rtl w:val="1"/>
        </w:rPr>
        <w:t>إطار إعداد تقرير سنوي على أساس Word مع قاعدة الإعداد، ومشاركات من أربع ركائز، وحقول الأدلة، ومؤشر المراجع المتقاطعة والتحكم في التوقيع.</w:t>
      </w:r>
    </w:p>
    <w:tbl>
      <w:tblPr>
        <w:tblW w:type="auto" w:w="0"/>
        <w:jc w:val="left"/>
        <w:tblLayout w:type="fixed"/>
        <w:tblLook w:firstColumn="1" w:firstRow="1" w:lastColumn="0" w:lastRow="0" w:noHBand="0" w:noVBand="1" w:val="04A0"/>
      </w:tblPr>
      <w:tblGrid>
        <w:gridCol w:w="9792"/>
      </w:tblGrid>
      <w:tr>
        <w:tc>
          <w:tcPr>
            <w:tcW w:type="dxa" w:w="9922"/>
            <w:shd w:fill="0D3068"/>
            <w:tcMar>
              <w:top w:w="0" w:type="dxa"/>
              <w:start w:w="0" w:type="dxa"/>
              <w:bottom w:w="0" w:type="dxa"/>
              <w:end w:w="0" w:type="dxa"/>
            </w:tcMar>
          </w:tcPr>
          <w:p>
            <w:r/>
          </w:p>
        </w:tc>
      </w:tr>
    </w:tbl>
    <w:tbl>
      <w:tblPr>
        <w:tblW w:type="auto" w:w="0"/>
        <w:jc w:val="left"/>
        <w:tblLayout w:type="fixed"/>
        <w:tblLook w:firstColumn="1" w:firstRow="1" w:lastColumn="0" w:lastRow="0" w:noHBand="0" w:noVBand="1" w:val="04A0"/>
      </w:tblPr>
      <w:tblGrid>
        <w:gridCol w:w="4961"/>
        <w:gridCol w:w="4961"/>
      </w:tblGrid>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color w:val="0D3068"/>
                <w:sz w:val="17"/>
                <w:rtl w:val="1"/>
              </w:rPr>
              <w:t>رقم المادة</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val="0"/>
                <w:color w:val="18212B"/>
                <w:sz w:val="17"/>
                <w:rtl w:val="1"/>
              </w:rPr>
              <w:t>UKSRS1-TEMPLATE-EDITABLE</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color w:val="0D3068"/>
                <w:sz w:val="17"/>
                <w:rtl w:val="1"/>
              </w:rPr>
              <w:t>تنسيق</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val="0"/>
                <w:color w:val="18212B"/>
                <w:sz w:val="17"/>
                <w:rtl w:val="1"/>
              </w:rPr>
              <w:t>أداة تنفيذ قابلة للتحرير</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color w:val="0D3068"/>
                <w:sz w:val="17"/>
                <w:rtl w:val="1"/>
              </w:rPr>
              <w:t>الجمهور الأساسي</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val="0"/>
                <w:color w:val="18212B"/>
                <w:sz w:val="17"/>
                <w:rtl w:val="1"/>
              </w:rPr>
              <w:t>UK فرق تقديم التقارير الخاصة بالمركز المالي، والقانونية، والحوكمة والمراجعين الفنيين</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color w:val="0D3068"/>
                <w:sz w:val="17"/>
                <w:rtl w:val="1"/>
              </w:rPr>
              <w:t>الوضع التقني</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pPr>
              <w:bidi w:val="1"/>
            </w:pPr>
            <w:r>
              <w:rPr>
                <w:rFonts w:ascii="Arial" w:hAnsi="Arial"/>
                <w:b w:val="0"/>
                <w:color w:val="18212B"/>
                <w:sz w:val="17"/>
                <w:rtl w:val="1"/>
              </w:rPr>
              <w:t>أُعِدّ استناداً إلى إصدارات UK SRS الصادرة في 25 فبراير 2026؛ وروجع في 2 أغسطس 2026.</w:t>
            </w:r>
          </w:p>
        </w:tc>
      </w:tr>
    </w:tbl>
    <w:p>
      <w:pPr>
        <w:spacing w:before="320"/>
        <w:bidi w:val="1"/>
      </w:pPr>
      <w:r>
        <w:rPr>
          <w:rFonts w:ascii="Arial" w:hAnsi="Arial"/>
          <w:i/>
          <w:color w:val="59636E"/>
          <w:sz w:val="18"/>
          <w:rtl w:val="1"/>
        </w:rPr>
        <w:t>مواد تعليمية للممارسين. يجب تكييف الأمثلة التوضيحية والصياغات وإخضاعها لمراجعة فنية.</w:t>
      </w:r>
    </w:p>
    <w:p>
      <w:r>
        <w:br w:type="page"/>
      </w:r>
    </w:p>
    <w:tbl>
      <w:tblPr>
        <w:tblW w:type="auto" w:w="0"/>
        <w:jc w:val="left"/>
        <w:tblLayout w:type="fixed"/>
        <w:tblLook w:firstColumn="1" w:firstRow="1" w:lastColumn="0" w:lastRow="0" w:noHBand="0" w:noVBand="1" w:val="04A0"/>
      </w:tblPr>
      <w:tblGrid>
        <w:gridCol w:w="9922"/>
      </w:tblGrid>
      <w:tr>
        <w:trPr>
          <w:cantSplit/>
        </w:trPr>
        <w:tc>
          <w:tcPr>
            <w:tcW w:type="dxa" w:w="9792"/>
            <w:shd w:fill="FFF4DF"/>
            <w:tcBorders>
              <w:top w:val="single" w:sz="3" w:color="B9CAD9"/>
              <w:left w:val="single" w:sz="18" w:color="A76900"/>
              <w:bottom w:val="single" w:sz="3" w:color="B9CAD9"/>
              <w:right w:val="single" w:sz="3" w:color="B9CAD9"/>
            </w:tcBorders>
            <w:tcMar>
              <w:top w:w="120" w:type="dxa"/>
              <w:start w:w="150" w:type="dxa"/>
              <w:bottom w:w="120" w:type="dxa"/>
              <w:end w:w="150" w:type="dxa"/>
            </w:tcMar>
          </w:tcPr>
          <w:p>
            <w:pPr>
              <w:spacing w:after="60"/>
              <w:bidi w:val="1"/>
            </w:pPr>
            <w:r>
              <w:rPr>
                <w:rFonts w:ascii="Arial" w:hAnsi="Arial"/>
                <w:b/>
                <w:color w:val="A76900"/>
                <w:sz w:val="21"/>
                <w:rtl w:val="1"/>
              </w:rPr>
              <w:t>كيفية استخدام هذا الشكل</w:t>
            </w:r>
          </w:p>
          <w:p>
            <w:pPr>
              <w:spacing w:after="0"/>
              <w:bidi w:val="1"/>
            </w:pPr>
            <w:r>
              <w:rPr>
                <w:rFonts w:ascii="Arial" w:hAnsi="Arial"/>
                <w:color w:val="18212B"/>
                <w:sz w:val="19"/>
                <w:rtl w:val="1"/>
              </w:rPr>
              <w:t>إكمال فقط الإشارات ذات الصلة بالمعلومات المادية وأساس التقارير المعتمدة. استبدل جميع النص المرتبط بالعقدة. ربط كل بيان مادي بالأدلة، وملك مسمى ومراجع. حذف تعليمات صياغة غير مستخدمة قبل النشر. هذه الأداة ليست نموذج حكومي رسمي ولا تضمن الامتثال.</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1E5A8A"/>
              <w:bottom w:val="single" w:sz="3" w:color="B9CAD9"/>
              <w:right w:val="single" w:sz="3" w:color="B9CAD9"/>
            </w:tcBorders>
            <w:tcMar>
              <w:top w:w="120" w:type="dxa"/>
              <w:start w:w="150" w:type="dxa"/>
              <w:bottom w:w="120" w:type="dxa"/>
              <w:end w:w="150" w:type="dxa"/>
            </w:tcMar>
          </w:tcPr>
          <w:p>
            <w:pPr>
              <w:spacing w:after="60"/>
              <w:bidi w:val="1"/>
            </w:pPr>
            <w:r>
              <w:rPr>
                <w:rFonts w:ascii="Arial" w:hAnsi="Arial"/>
                <w:b/>
                <w:color w:val="1E5A8A"/>
                <w:sz w:val="21"/>
                <w:rtl w:val="1"/>
              </w:rPr>
              <w:t>الحالة الحالية</w:t>
            </w:r>
          </w:p>
          <w:p>
            <w:pPr>
              <w:spacing w:after="0"/>
              <w:bidi w:val="1"/>
            </w:pPr>
            <w:r>
              <w:rPr>
                <w:rFonts w:ascii="Arial" w:hAnsi="Arial"/>
                <w:color w:val="18212B"/>
                <w:sz w:val="19"/>
                <w:rtl w:val="1"/>
              </w:rPr>
              <w:t>UK SRS S1 و UK SRS S2 تم إصدارها في 25 فبراير 2026 ويتم تطبيقها للاستخدام الطوعي. وهي ليست، في حد ذاتها، نظام إعداد الإبلاغات الائتماني العامة. يجب التحقق من أي طريق إلزاميا مستقبلا، بما في ذلك متطلبات قانون الشركات أو الاتحاد الأوروبي، مع القواعد النهائية التي تنطبق على الكيان ومدة الإبلاج.</w:t>
            </w:r>
          </w:p>
        </w:tc>
      </w:tr>
    </w:tbl>
    <w:p>
      <w:pPr>
        <w:spacing w:after="20"/>
      </w:pPr>
    </w:p>
    <w:p>
      <w:pPr>
        <w:pStyle w:val="Heading1"/>
        <w:pageBreakBefore/>
        <w:bidi w:val="1"/>
      </w:pPr>
      <w:r>
        <w:rPr>
          <w:rFonts w:ascii="Arial" w:hAnsi="Arial"/>
          <w:b/>
          <w:color w:val="0D3068"/>
          <w:sz w:val="38"/>
          <w:rtl w:val="1"/>
        </w:rPr>
        <w:t>1أساس التحضير</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الكيان المبلغ وتوفيقه مع البيانات المالية ذات الصلة شرح عمليات الاستحواذ والتسليم والفرق الحدودية المحددة للمقاييس.</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الفترة وتأكيد نشرها في نفس الوقت مع البيانات المالية ذات الصلة.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الاستخدام الطوعي للدولة أو القانون/القاعدة الإلزامية الدقيقة ومدة نفاذها.</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UK SRS S1 و S2 و فبراير 2026 الإصدارات؛ تحديد إرشادات أخرى بشكل منفصل.</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المستخدمين الأساسيين، والآفاق، واختبار ملموسية المعلومات، والتجميع، والخفاء وإعادة تقييمها.</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الصناعات والمصادر المحددة التي تم تطبيقها فعلياً، بما في ذلك القياسات المتخذة أو المعدلة.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قم بإدراج كل فقرة، والسبب، والإفصاح المتضرر، والمعلومات المتكافئة، وفعلها.</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الأحكام التي أحدثت تأثيرًا كبيرًا على الإفصاحات.</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المبالغ والصادرات والمفترضات والحساسية والنتائج المحتملة غير المؤكدة للغاية.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وضع التقرير وقم بإدراج المراجع المتحكمة بدقة.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الصيغة فقط بعد مراجعة تقنية وقانونية للأساس الكامل.</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2- المراجعة التنفيذية</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تلخيص المخاطر والفرص المهمة المتعلقة بالاستدامة التي تؤثر على الآفاق والتغيرات الكبرى في الفترة.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تلخيص أهم النموذج التجاري والاستراتيجية والآثار المالية واستنتاجات الصمود.</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تلخيص الإعفاءات والشكوك المادية وتقييدات النطاق والتغطية الضمانية.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3الحكم</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الهيئة أو الفرد وكيف تنعكس المسؤوليات في الولايات والسياسات.</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أوضح كيف توجد مهارات مناسبة أو تتطور.</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كيفية ومدى الموعد الذي يتم فيه إبلاغ الجسم وما هي حدود التصعيد التي تنطبق.</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كيفية النظر في قضايا الاستدامة في الاستراتيجية والمعاملات الرئيسية وإدارة المخاطر.</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الإشراف على تحديد الأهداف والتقدم وأي روابط في مجال التأجير.</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تفويضات الإدارة، خطوط تقرير وتكامل الضوابط مع وظائف أخرى.</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4استراتيجية</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المادة والسبب والتعرض والتركيز والأفق الزمني.</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الآثار الحالية والمتوقعة ومكان تركيزها.</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الردود والخطط والتقدم والقرارات والتنازلات.</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الآثار على الوضع المالي والأداء وتدفقات النقدية في الفترة.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الآثار المتوقعة على المدى القصير والمتوسط والطويل وكيف يتم تضمينها في التخطيط المالي.</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إعطاء الكميات أو النطاقات، أو شرح استخدام الإغاثة والعناصر المتأثرة.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التقييم والمفتاحات والقدرة على التكيف والقيود.</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5إدارة المخاطر</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الأساليب والصادرات وتغطية سلسلة القيمة والعوامل المحفزة.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المعايير وعدم اليقين وتحديد الأولويات والروابط مع المادة.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المعايير والعدول، الحوادث والتغيرات وتصاعد.</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التكامل مع إدارة المخاطر في المؤسسات والاستراتيجية والتمويل والسيطرة.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التغييرات الهامة من الفترة السابقة.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6المقاييس والهدف</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قائمة المقاييس التي تتطلبها القانون المعمول بها UK معيار تقرير الاستدامة.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قائمة بالمقاييس المستخدمة لمراقبة كل خطر/فرصة ومؤثرات مهمة.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أهمية الصناعة، المصدر، الإدراج وأي تكييف.</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الميترات والحدود ووحدة ونوعها والتحقق من المصادقة والحساب والمدخلات والقيود والافتراضات.</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المقاييس الحكومية والهدف والفترة والفترة الأساسية والأهداف والموافقة.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تقرير الأداء والاتجاه والميزات المفقودة والإجراءات التصحيحية.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التعديلات، والبدل، وإعادة التقديرات وتأثيرات المقارنة.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7الحكم والشك و الأخطاء</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الأحكام التي أثرت على المعلومات المادية بشكل كبير.</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شرح لماذا تم تطبيق إرشادات وتصنيفات محددة.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النطاقات والسيناريوهات وحكيمات القدرة وعدم اليقين.</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الاستخراج والتمويل والعوامل والبيانات المفقودة والحساسية.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وصف التغييرات في التقديرات أو الأساليب وتصحيح الأخطاء المادية السابقة.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Fonts w:ascii="Arial" w:hAnsi="Arial"/>
          <w:b/>
          <w:color w:val="0D3068"/>
          <w:sz w:val="38"/>
          <w:rtl w:val="1"/>
        </w:rPr>
        <w:t>8- الإشارة المتقاطعة والتأكيد والتصديق</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تحديد المتطلبات/الموضوع، الوثيقة، الصفحة/المريخ، والوصول، والتوقيت، والصاحب والإصدار.</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موضوع الدولة، المعايير، المستوى، المقدم، الفترة، الحدود، الاستبعاد والانتهاء.</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تسجيل المصالحة مع التقرير الاستراتيجي، المخاطر الرئيسية، KPIs والإقوال المالية.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الكمال والبيانات والتمويل والممثلة القانونية والسيطرة.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FFFFFF"/>
                      <w:sz w:val="17"/>
                      <w:rtl w:val="1"/>
                    </w:rPr>
                    <w:t>-أسرع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التاريخ والوثائق والطلبات والإعفاءات والشروط والسلطة المفوضية.</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مسودة الرد</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الإفصاحات الخاصة بالشركة]</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الأدلة / المصدر</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[إدراج هويات الأدلة، وتقارير النظام، والحسابات، والسياسات، والمذكرات أو الإشارات المتقاطعة]</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color w:val="0D3068"/>
                      <w:sz w:val="17"/>
                      <w:rtl w:val="1"/>
                    </w:rPr>
                    <w:t>المالك / المراجع / الوضع</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pPr>
                    <w:bidi w:val="1"/>
                  </w:pPr>
                  <w:r>
                    <w:rPr>
                      <w:rFonts w:ascii="Arial" w:hAnsi="Arial"/>
                      <w:b w:val="0"/>
                      <w:color w:val="18212B"/>
                      <w:sz w:val="17"/>
                      <w:rtl w:val="1"/>
                    </w:rPr>
                    <w:t>المالك: [ ] المراجع: [ ] حالة: [ لم يبدأ / مسودة / تم مراجعتها / تمت الموافقة عليها]</w:t>
                  </w:r>
                </w:p>
              </w:tc>
            </w:tr>
          </w:tbl>
          <w:p/>
        </w:tc>
      </w:tr>
    </w:tbl>
    <w:p>
      <w:pPr>
        <w:spacing w:after="40"/>
      </w:pPr>
    </w:p>
    <w:p>
      <w:pPr>
        <w:pStyle w:val="Heading1"/>
        <w:pageBreakBefore/>
        <w:bidi w:val="1"/>
      </w:pPr>
      <w:r>
        <w:rPr>
          <w:rtl w:val="1"/>
        </w:rPr>
        <w:t>مؤشر الإشارات المتقاطعة والإفصاح عن المعلومات</w:t>
      </w:r>
    </w:p>
    <w:tbl>
      <w:tblPr>
        <w:tblW w:type="auto" w:w="0"/>
        <w:jc w:val="left"/>
        <w:tblLayout w:type="fixed"/>
        <w:tblLook w:firstColumn="1" w:firstRow="1" w:lastColumn="0" w:lastRow="0" w:noHBand="0" w:noVBand="1" w:val="04A0"/>
      </w:tblPr>
      <w:tblGrid>
        <w:gridCol w:w="1417"/>
        <w:gridCol w:w="1417"/>
        <w:gridCol w:w="1417"/>
        <w:gridCol w:w="1417"/>
        <w:gridCol w:w="1417"/>
        <w:gridCol w:w="1417"/>
        <w:gridCol w:w="1417"/>
      </w:tblGrid>
      <w:tr>
        <w:trPr>
          <w:tblHeader w:val="true"/>
        </w:trPr>
        <w:tc>
          <w:tcPr>
            <w:tcW w:type="dxa" w:w="173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الاحتياج / الموضوع</w:t>
            </w:r>
          </w:p>
        </w:tc>
        <w:tc>
          <w:tcPr>
            <w:tcW w:type="dxa" w:w="136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الموقع</w:t>
            </w:r>
          </w:p>
        </w:tc>
        <w:tc>
          <w:tcPr>
            <w:tcW w:type="dxa" w:w="2231"/>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الوثيقة / عنوان URL</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المالك</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المراجعة</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التأمين</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الحالة</w:t>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bl>
    <w:p>
      <w:pPr>
        <w:spacing w:after="20"/>
      </w:pPr>
    </w:p>
    <w:p>
      <w:pPr>
        <w:pStyle w:val="Heading1"/>
        <w:pageBreakBefore/>
        <w:bidi w:val="1"/>
      </w:pPr>
      <w:r>
        <w:rPr>
          <w:rtl w:val="1"/>
        </w:rPr>
        <w:t>سجل التوقيع النهائي</w:t>
      </w:r>
    </w:p>
    <w:tbl>
      <w:tblPr>
        <w:tblW w:type="auto" w:w="0"/>
        <w:jc w:val="left"/>
        <w:tblLayout w:type="fixed"/>
        <w:tblLook w:firstColumn="1" w:firstRow="1" w:lastColumn="0" w:lastRow="0" w:noHBand="0" w:noVBand="1" w:val="04A0"/>
      </w:tblPr>
      <w:tblGrid>
        <w:gridCol w:w="4961"/>
        <w:gridCol w:w="4961"/>
      </w:tblGrid>
      <w:tr>
        <w:trPr>
          <w:tblHeader w:val="true"/>
        </w:trPr>
        <w:tc>
          <w:tcPr>
            <w:tcW w:type="dxa" w:w="3168"/>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حقل الموافقة</w:t>
            </w:r>
          </w:p>
        </w:tc>
        <w:tc>
          <w:tcPr>
            <w:tcW w:type="dxa" w:w="662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bidi w:val="1"/>
            </w:pPr>
            <w:r>
              <w:rPr>
                <w:rFonts w:ascii="Arial" w:hAnsi="Arial"/>
                <w:b/>
                <w:color w:val="FFFFFF"/>
                <w:sz w:val="16"/>
                <w:rtl w:val="1"/>
              </w:rPr>
              <w:t>سجل</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أساس الإبلاغ والادعاء</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[إدراج الأساس المعتمد والصيغة النهائية الدقيقة]</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لجنة الإفصاح عن الإدارة</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 ] القرار: [ ] الشروط: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توقيع المدير المالي</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 ] إشارة التمثيل: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أمين الشركة / مراجعة قانونية</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 ] مراجعة المطالبات والوضع: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لجنة التحقيق / المخاطر</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 ] قرار: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موافقة مجلس الإدارة</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 ] النسخة المعتمدة: [ ] الشروط / الهيئة المفوضية: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تقرير التأمين</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مقدم: [ ] موضوع / مستوى / تاريخ: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سجل نشر</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تاريخ التقرير السنوي: [ ] الملفات المرجعية / عناوين URL / مجموعات التحقق: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المحفزات المراجعة التالية</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bidi w:val="1"/>
            </w:pPr>
            <w:r>
              <w:rPr>
                <w:rFonts w:ascii="Arial" w:hAnsi="Arial"/>
                <w:color w:val="18212B"/>
                <w:sz w:val="16"/>
                <w:rtl w:val="1"/>
              </w:rPr>
              <w:t>[إدخال عوامل تنظيمية ومعايير وبيانات ومشروع]</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59636E"/>
              <w:bottom w:val="single" w:sz="3" w:color="B9CAD9"/>
              <w:right w:val="single" w:sz="3" w:color="B9CAD9"/>
            </w:tcBorders>
            <w:tcMar>
              <w:top w:w="120" w:type="dxa"/>
              <w:start w:w="150" w:type="dxa"/>
              <w:bottom w:w="120" w:type="dxa"/>
              <w:end w:w="150" w:type="dxa"/>
            </w:tcMar>
          </w:tcPr>
          <w:p>
            <w:pPr>
              <w:spacing w:after="60"/>
              <w:bidi w:val="1"/>
            </w:pPr>
            <w:r>
              <w:rPr>
                <w:rFonts w:ascii="Arial" w:hAnsi="Arial"/>
                <w:b/>
                <w:color w:val="59636E"/>
                <w:sz w:val="21"/>
                <w:rtl w:val="1"/>
              </w:rPr>
              <w:t>الحد من الاستخدام النهائي</w:t>
            </w:r>
          </w:p>
          <w:p>
            <w:pPr>
              <w:spacing w:after="0"/>
              <w:bidi w:val="1"/>
            </w:pPr>
            <w:r>
              <w:rPr>
                <w:rFonts w:ascii="Arial" w:hAnsi="Arial"/>
                <w:color w:val="18212B"/>
                <w:sz w:val="19"/>
                <w:rtl w:val="1"/>
              </w:rPr>
              <w:t>لا تُعد هذه المواد التعليمية مشورة قانونية أو رأياً بشأن خدمات التأكيد، ولا بديلاً عن قراءة المعايير الرسمية الحالية والتشريعات المعمول بها وقواعد الجهات التنظيمية. يجب تكييف الصياغات والسيناريوهات التوضيحية مع حقائق المنشأة.</w:t>
            </w:r>
          </w:p>
        </w:tc>
      </w:tr>
    </w:tbl>
    <w:p>
      <w:pPr>
        <w:spacing w:after="20"/>
      </w:pPr>
    </w:p>
    <w:sectPr w:rsidR="00FC693F" w:rsidRPr="0006063C" w:rsidSect="00034616">
      <w:headerReference w:type="default" r:id="rId9"/>
      <w:footerReference w:type="default" r:id="rId10"/>
      <w:pgSz w:w="11906" w:h="16838"/>
      <w:pgMar w:top="964" w:right="992" w:bottom="964" w:left="992"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Arial" w:hAnsi="Arial"/>
        <w:color w:val="59636E"/>
        <w:sz w:val="16"/>
        <w:rtl w:val="1"/>
      </w:rPr>
      <w:t xml:space="preserve">UKSRS1-TEMPLATE-EDITABLE تم مراجعتها 2 أغسطس 2026  |  </w:t>
    </w:r>
    <w:r>
      <w:rPr>
        <w:rFonts w:ascii="Arial" w:hAnsi="Arial"/>
        <w:color w:val="59636E"/>
        <w:sz w:val="17"/>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bidi w:val="1"/>
    </w:pPr>
    <w:r>
      <w:rPr>
        <w:rFonts w:ascii="Arial" w:hAnsi="Arial"/>
        <w:b/>
        <w:color w:val="0D3068"/>
        <w:sz w:val="16"/>
        <w:rtl w:val="1"/>
      </w:rPr>
      <w:t>LONDON REPORTING ACADEMY  ·  مركز المعرفة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Report Template - Editable Drafting Tool</dc:title>
  <dc:subject/>
  <dc:creator>London Reporting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