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Layout w:type="fixed"/>
      </w:tblPr>
      <w:tblGrid>
        <w:gridCol w:w="10036"/>
      </w:tblGrid>
      <w:tr>
        <w:trPr>
          <w:trHeight w:val="4706" w:hRule="atLeast"/>
        </w:trPr>
        <w:tc>
          <w:tcPr>
            <w:tcW w:type="dxa" w:w="10036"/>
            <w:shd w:fill="173F65"/>
            <w:tcMar>
              <w:top w:w="420" w:type="dxa"/>
              <w:start w:w="420" w:type="dxa"/>
              <w:bottom w:w="380" w:type="dxa"/>
              <w:end w:w="420" w:type="dxa"/>
            </w:tcMar>
          </w:tcPr>
          <w:p>
            <w:pPr>
              <w:spacing w:before="0" w:after="160" w:line="240" w:lineRule="auto"/>
              <w:jc w:val="right"/>
            </w:pPr>
            <w:r>
              <w:drawing>
                <wp:inline xmlns:a="http://schemas.openxmlformats.org/drawingml/2006/main" xmlns:pic="http://schemas.openxmlformats.org/drawingml/2006/picture">
                  <wp:extent cx="1800000" cy="387624"/>
                  <wp:docPr id="1" name="Picture 1" descr="London Reporting Academy logo" title="London Reporting Academy logo"/>
                  <wp:cNvGraphicFramePr>
                    <a:graphicFrameLocks noChangeAspect="1"/>
                  </wp:cNvGraphicFramePr>
                  <a:graphic>
                    <a:graphicData uri="http://schemas.openxmlformats.org/drawingml/2006/picture">
                      <pic:pic>
                        <pic:nvPicPr>
                          <pic:cNvPr id="0" name="LRA_logo_white_panel.png"/>
                          <pic:cNvPicPr/>
                        </pic:nvPicPr>
                        <pic:blipFill>
                          <a:blip r:embed="rId11"/>
                          <a:stretch>
                            <a:fillRect/>
                          </a:stretch>
                        </pic:blipFill>
                        <pic:spPr>
                          <a:xfrm>
                            <a:off x="0" y="0"/>
                            <a:ext cx="1800000" cy="387624"/>
                          </a:xfrm>
                          <a:prstGeom prst="rect"/>
                        </pic:spPr>
                      </pic:pic>
                    </a:graphicData>
                  </a:graphic>
                </wp:inline>
              </w:drawing>
            </w:r>
          </w:p>
          <w:p>
            <w:pPr>
              <w:spacing w:before="320" w:after="160" w:line="240" w:lineRule="auto"/>
            </w:pPr>
            <w:r>
              <w:rPr>
                <w:rFonts w:ascii="Lato" w:hAnsi="Lato" w:eastAsia="Lato"/>
                <w:b/>
                <w:color w:val="FFFFFF"/>
                <w:sz w:val="50"/>
              </w:rPr>
              <w:t>UK SRS S2 Jahresbericht-Anzeigerschablone</w:t>
            </w:r>
          </w:p>
          <w:p>
            <w:pPr>
              <w:spacing w:before="100" w:after="0" w:line="259" w:lineRule="auto"/>
            </w:pPr>
            <w:r>
              <w:rPr>
                <w:rFonts w:ascii="Lato" w:hAnsi="Lato" w:eastAsia="Lato"/>
                <w:color w:val="DCE9F5"/>
                <w:sz w:val="26"/>
              </w:rPr>
              <w:t>Bearbeitungsfähige Struktur und Ausarbeitung von Anweisungen für die Vorbereitungsschulden, vier Säulen, Szenarien, GHG, finanzielle Auswirkungen, Urteile, Bestimmungen, Querverweise und Genehmigung</w:t>
            </w:r>
          </w:p>
        </w:tc>
      </w:tr>
    </w:tbl>
    <w:p/>
    <w:tbl>
      <w:tblPr>
        <w:tblW w:type="auto" w:w="0"/>
        <w:jc w:val="center"/>
        <w:tblLook w:firstColumn="1" w:firstRow="1" w:lastColumn="0" w:lastRow="0" w:noHBand="0" w:noVBand="1" w:val="04A0"/>
        <w:tblLayout w:type="fixed"/>
      </w:tblPr>
      <w:tblGrid>
        <w:gridCol w:w="5018"/>
        <w:gridCol w:w="5018"/>
      </w:tblGrid>
      <w:tr>
        <w:tc>
          <w:tcPr>
            <w:tcW w:type="dxa" w:w="2381"/>
            <w:shd w:fill="EAF1F7"/>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pPr>
            <w:r>
              <w:rPr>
                <w:rFonts w:ascii="Lato" w:hAnsi="Lato" w:eastAsia="Lato"/>
                <w:b/>
                <w:color w:val="173F65"/>
                <w:sz w:val="18"/>
              </w:rPr>
              <w:t>Artikel-ID</w:t>
            </w:r>
          </w:p>
        </w:tc>
        <w:tc>
          <w:tcPr>
            <w:tcW w:type="dxa" w:w="7427"/>
            <w:shd w:fill="FFFFFF"/>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pPr>
            <w:r>
              <w:rPr>
                <w:rFonts w:ascii="Lato" w:hAnsi="Lato" w:eastAsia="Lato"/>
                <w:color w:val="26384A"/>
                <w:sz w:val="18"/>
              </w:rPr>
              <w:t>UKSRS-S2-TPL-001</w:t>
            </w:r>
          </w:p>
        </w:tc>
      </w:tr>
      <w:tr>
        <w:tc>
          <w:tcPr>
            <w:tcW w:type="dxa" w:w="2381"/>
            <w:shd w:fill="DDEBF7"/>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pPr>
            <w:r>
              <w:rPr>
                <w:rFonts w:ascii="Lato" w:hAnsi="Lato" w:eastAsia="Lato"/>
                <w:b/>
                <w:color w:val="173F65"/>
                <w:sz w:val="18"/>
              </w:rPr>
              <w:t>Veröffentlichungsart</w:t>
            </w:r>
          </w:p>
        </w:tc>
        <w:tc>
          <w:tcPr>
            <w:tcW w:type="dxa" w:w="7427"/>
            <w:shd w:fill="F3F5F7"/>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pPr>
            <w:r>
              <w:rPr>
                <w:rFonts w:ascii="Lato" w:hAnsi="Lato" w:eastAsia="Lato"/>
                <w:color w:val="26384A"/>
                <w:sz w:val="18"/>
              </w:rPr>
              <w:t>Praktische Berichtsvorlage</w:t>
            </w:r>
          </w:p>
        </w:tc>
      </w:tr>
      <w:tr>
        <w:tc>
          <w:tcPr>
            <w:tcW w:type="dxa" w:w="2381"/>
            <w:shd w:fill="EAF1F7"/>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pPr>
            <w:r>
              <w:rPr>
                <w:rFonts w:ascii="Lato" w:hAnsi="Lato" w:eastAsia="Lato"/>
                <w:b/>
                <w:color w:val="173F65"/>
                <w:sz w:val="18"/>
              </w:rPr>
              <w:t>Hauptzuhörer</w:t>
            </w:r>
          </w:p>
        </w:tc>
        <w:tc>
          <w:tcPr>
            <w:tcW w:type="dxa" w:w="7427"/>
            <w:shd w:fill="FFFFFF"/>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pPr>
            <w:r>
              <w:rPr>
                <w:rFonts w:ascii="Lato" w:hAnsi="Lato" w:eastAsia="Lato"/>
                <w:color w:val="26384A"/>
                <w:sz w:val="18"/>
              </w:rPr>
              <w:t>UK Jahresberichterstattung, Finanzen, Nachhaltigkeit, Risiken und Unternehmenssekretariatsteams</w:t>
            </w:r>
          </w:p>
        </w:tc>
      </w:tr>
      <w:tr>
        <w:tc>
          <w:tcPr>
            <w:tcW w:type="dxa" w:w="2381"/>
            <w:shd w:fill="DDEBF7"/>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pPr>
            <w:r>
              <w:rPr>
                <w:rFonts w:ascii="Lato" w:hAnsi="Lato" w:eastAsia="Lato"/>
                <w:b/>
                <w:color w:val="173F65"/>
                <w:sz w:val="18"/>
              </w:rPr>
              <w:t>Gerichtsbarkeit</w:t>
            </w:r>
          </w:p>
        </w:tc>
        <w:tc>
          <w:tcPr>
            <w:tcW w:type="dxa" w:w="7427"/>
            <w:shd w:fill="F3F5F7"/>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pPr>
            <w:r>
              <w:rPr>
                <w:rFonts w:ascii="Lato" w:hAnsi="Lato" w:eastAsia="Lato"/>
                <w:color w:val="26384A"/>
                <w:sz w:val="18"/>
              </w:rPr>
              <w:t>Vereinigtes Königreich</w:t>
            </w:r>
          </w:p>
        </w:tc>
      </w:tr>
      <w:tr>
        <w:tc>
          <w:tcPr>
            <w:tcW w:type="dxa" w:w="2381"/>
            <w:shd w:fill="EAF1F7"/>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pPr>
            <w:r>
              <w:rPr>
                <w:rFonts w:ascii="Lato" w:hAnsi="Lato" w:eastAsia="Lato"/>
                <w:b/>
                <w:color w:val="173F65"/>
                <w:sz w:val="18"/>
              </w:rPr>
              <w:t>Technische Abschnitte</w:t>
            </w:r>
          </w:p>
        </w:tc>
        <w:tc>
          <w:tcPr>
            <w:tcW w:type="dxa" w:w="7427"/>
            <w:shd w:fill="FFFFFF"/>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pPr>
            <w:r>
              <w:rPr>
                <w:rFonts w:ascii="Lato" w:hAnsi="Lato" w:eastAsia="Lato"/>
                <w:color w:val="26384A"/>
                <w:sz w:val="18"/>
              </w:rPr>
              <w:t>3 August 2026</w:t>
            </w:r>
          </w:p>
        </w:tc>
      </w:tr>
      <w:tr>
        <w:tc>
          <w:tcPr>
            <w:tcW w:type="dxa" w:w="2381"/>
            <w:shd w:fill="DDEBF7"/>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pPr>
            <w:r>
              <w:rPr>
                <w:rFonts w:ascii="Lato" w:hAnsi="Lato" w:eastAsia="Lato"/>
                <w:b/>
                <w:color w:val="173F65"/>
                <w:sz w:val="18"/>
              </w:rPr>
              <w:t>Berichtsstatus</w:t>
            </w:r>
          </w:p>
        </w:tc>
        <w:tc>
          <w:tcPr>
            <w:tcW w:type="dxa" w:w="7427"/>
            <w:shd w:fill="F3F5F7"/>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pPr>
            <w:r>
              <w:rPr>
                <w:rFonts w:ascii="Lato" w:hAnsi="Lato" w:eastAsia="Lato"/>
                <w:color w:val="26384A"/>
                <w:sz w:val="18"/>
              </w:rPr>
              <w:t>Illustrative Implementierungsvorlage. Anpassung an die endgültige UK SRS, anwendbare Rechtsvorschriften und entitätenspezifische Fakten.</w:t>
            </w:r>
          </w:p>
        </w:tc>
      </w:tr>
    </w:tbl>
    <w:p>
      <w:pPr>
        <w:spacing w:before="240" w:after="0" w:line="252" w:lineRule="auto"/>
        <w:jc w:val="center"/>
      </w:pPr>
      <w:r>
        <w:rPr>
          <w:rFonts w:ascii="Lato" w:hAnsi="Lato" w:eastAsia="Lato"/>
          <w:i/>
          <w:color w:val="667788"/>
          <w:sz w:val="16"/>
        </w:rPr>
        <w:t>Schulungshinweise für Praktikerinnen und Praktiker. Keine Rechts- oder Prüfungsberatung. Prüfen Sie vor dem Handeln den aktuellen Wortlaut der UK SRS, die geltenden Berichtsregeln und die unternehmensspezifischen Fakten.</w:t>
      </w:r>
    </w:p>
    <w:p>
      <w:r>
        <w:br w:type="page"/>
      </w:r>
    </w:p>
    <w:tbl>
      <w:tblPr>
        <w:tblW w:type="auto" w:w="0"/>
        <w:jc w:val="center"/>
        <w:tblLook w:firstColumn="1" w:firstRow="1" w:lastColumn="0" w:lastRow="0" w:noHBand="0" w:noVBand="1" w:val="04A0"/>
        <w:tblLayout w:type="fixed"/>
      </w:tblPr>
      <w:tblGrid>
        <w:gridCol w:w="10036"/>
      </w:tblGrid>
      <w:tr>
        <w:tc>
          <w:tcPr>
            <w:tcW w:type="dxa" w:w="10036"/>
            <w:shd w:fill="EAF1F7"/>
            <w:tcMar>
              <w:top w:w="180" w:type="dxa"/>
              <w:start w:w="200" w:type="dxa"/>
              <w:bottom w:w="160" w:type="dxa"/>
              <w:end w:w="200" w:type="dxa"/>
            </w:tcMar>
            <w:tcBorders>
              <w:top w:val="single" w:sz="4" w:color="C8D2DC"/>
              <w:left w:val="single" w:sz="24" w:color="2A6F97"/>
              <w:bottom w:val="single" w:sz="4" w:color="C8D2DC"/>
              <w:right w:val="single" w:sz="4" w:color="C8D2DC"/>
            </w:tcBorders>
          </w:tcPr>
          <w:p>
            <w:pPr>
              <w:spacing w:before="0" w:after="100" w:line="240" w:lineRule="auto"/>
            </w:pPr>
            <w:r>
              <w:rPr>
                <w:rFonts w:ascii="Lato" w:hAnsi="Lato" w:eastAsia="Lato"/>
                <w:b/>
                <w:color w:val="173F65"/>
                <w:sz w:val="20"/>
              </w:rPr>
              <w:t>Wie man diesen Tempel benutzt</w:t>
            </w:r>
          </w:p>
          <w:p>
            <w:pPr>
              <w:spacing w:before="0" w:after="60" w:line="269" w:lineRule="auto"/>
            </w:pPr>
            <w:r>
              <w:rPr>
                <w:rFonts w:ascii="Lato" w:hAnsi="Lato" w:eastAsia="Lato"/>
                <w:b/>
                <w:color w:val="26384A"/>
                <w:sz w:val="22"/>
              </w:rPr>
              <w:t>Ersetzen Sie jeden in Klammern gepaarteten Anruf mit einer unternehmensspezifischen, evidenzgestützten Information. Löschen Sie nicht anwendbare Leitlinien erst nach der Dokumentation der Anwendbarkeit oder der Entscheidungswichtigkeit in der Offenlegungsschlüsselung. Behandeln Sie die Vorlage nicht als offizielle Form oder als Modell-Konformitätserklärung.</w:t>
            </w:r>
          </w:p>
          <w:p>
            <w:pPr>
              <w:spacing w:before="40" w:after="0" w:line="254" w:lineRule="auto"/>
            </w:pPr>
            <w:r>
              <w:rPr>
                <w:rFonts w:ascii="Lato" w:hAnsi="Lato" w:eastAsia="Lato"/>
                <w:i/>
                <w:color w:val="667788"/>
                <w:sz w:val="17"/>
              </w:rPr>
              <w:t>Zusammen mit der UK SRS S2 Die Klima-Offenlegung Matrix und ein aktuelles offizielles Quellenpaket.</w:t>
            </w:r>
          </w:p>
        </w:tc>
      </w:tr>
    </w:tbl>
    <w:p>
      <w:pPr>
        <w:spacing w:after="0"/>
      </w:pPr>
    </w:p>
    <w:p>
      <w:pPr>
        <w:pStyle w:val="Heading1"/>
      </w:pPr>
      <w:r>
        <w:t>Dokumentenkontrolle</w:t>
      </w:r>
    </w:p>
    <w:tbl>
      <w:tblPr>
        <w:tblW w:type="auto" w:w="0"/>
        <w:jc w:val="center"/>
        <w:tblLook w:firstColumn="1" w:firstRow="1" w:lastColumn="0" w:lastRow="0" w:noHBand="0" w:noVBand="1" w:val="04A0"/>
        <w:tblLayout w:type="fixed"/>
      </w:tblPr>
      <w:tblGrid>
        <w:gridCol w:w="5018"/>
        <w:gridCol w:w="5018"/>
      </w:tblGrid>
      <w:tr>
        <w:trPr>
          <w:tblHeader w:val="true"/>
        </w:trPr>
        <w:tc>
          <w:tcPr>
            <w:tcW w:type="dxa" w:w="2948"/>
            <w:shd w:fill="173F65"/>
            <w:tcMar>
              <w:top w:w="90" w:type="dxa"/>
              <w:start w:w="80" w:type="dxa"/>
              <w:bottom w:w="90" w:type="dxa"/>
              <w:end w:w="80" w:type="dxa"/>
            </w:tcMar>
            <w:tcBorders>
              <w:top w:val="single" w:sz="4" w:color="C8D2DC"/>
              <w:left w:val="single" w:sz="4" w:color="C8D2DC"/>
              <w:bottom w:val="single" w:sz="4" w:color="C8D2DC"/>
              <w:right w:val="single" w:sz="4" w:color="C8D2DC"/>
            </w:tcBorders>
          </w:tcPr>
          <w:p>
            <w:pPr>
              <w:spacing w:before="0" w:after="0" w:line="240" w:lineRule="auto"/>
              <w:jc w:val="left"/>
            </w:pPr>
            <w:r>
              <w:rPr>
                <w:rFonts w:ascii="Lato" w:hAnsi="Lato" w:eastAsia="Lato"/>
                <w:b/>
                <w:color w:val="FFFFFF"/>
                <w:sz w:val="18"/>
              </w:rPr>
              <w:t>Feld</w:t>
            </w:r>
          </w:p>
        </w:tc>
        <w:tc>
          <w:tcPr>
            <w:tcW w:type="dxa" w:w="6860"/>
            <w:shd w:fill="173F65"/>
            <w:tcMar>
              <w:top w:w="90" w:type="dxa"/>
              <w:start w:w="80" w:type="dxa"/>
              <w:bottom w:w="90" w:type="dxa"/>
              <w:end w:w="80" w:type="dxa"/>
            </w:tcMar>
            <w:tcBorders>
              <w:top w:val="single" w:sz="4" w:color="C8D2DC"/>
              <w:left w:val="single" w:sz="4" w:color="C8D2DC"/>
              <w:bottom w:val="single" w:sz="4" w:color="C8D2DC"/>
              <w:right w:val="single" w:sz="4" w:color="C8D2DC"/>
            </w:tcBorders>
          </w:tcPr>
          <w:p>
            <w:pPr>
              <w:spacing w:before="0" w:after="0" w:line="240" w:lineRule="auto"/>
              <w:jc w:val="left"/>
            </w:pPr>
            <w:r>
              <w:rPr>
                <w:rFonts w:ascii="Lato" w:hAnsi="Lato" w:eastAsia="Lato"/>
                <w:b/>
                <w:color w:val="FFFFFF"/>
                <w:sz w:val="18"/>
              </w:rPr>
              <w:t>Kontrollierter Eintrag</w:t>
            </w:r>
          </w:p>
        </w:tc>
      </w:tr>
      <w:tr>
        <w:tc>
          <w:tcPr>
            <w:tcW w:type="dxa" w:w="2948"/>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color w:val="173F65"/>
                <w:sz w:val="17"/>
              </w:rPr>
              <w:t>Entität</w:t>
            </w:r>
          </w:p>
        </w:tc>
        <w:tc>
          <w:tcPr>
            <w:tcW w:type="dxa" w:w="686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 LEGAL/CONsolidated Reporting ENTITY]</w:t>
            </w:r>
          </w:p>
        </w:tc>
      </w:tr>
      <w:tr>
        <w:tc>
          <w:tcPr>
            <w:tcW w:type="dxa" w:w="2948"/>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color w:val="173F65"/>
                <w:sz w:val="17"/>
              </w:rPr>
              <w:t>Berichtszeitraum</w:t>
            </w:r>
          </w:p>
        </w:tc>
        <w:tc>
          <w:tcPr>
            <w:tcW w:type="dxa" w:w="6860"/>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 PERIOD]</w:t>
            </w:r>
          </w:p>
        </w:tc>
      </w:tr>
      <w:tr>
        <w:tc>
          <w:tcPr>
            <w:tcW w:type="dxa" w:w="2948"/>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color w:val="173F65"/>
                <w:sz w:val="17"/>
              </w:rPr>
              <w:t>Standort des Jahresberichts</w:t>
            </w:r>
          </w:p>
        </w:tc>
        <w:tc>
          <w:tcPr>
            <w:tcW w:type="dxa" w:w="686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 STRATEGICHER BILD / ANDER GENERALER Zweck FINANZALER BILDSTELL]</w:t>
            </w:r>
          </w:p>
        </w:tc>
      </w:tr>
      <w:tr>
        <w:tc>
          <w:tcPr>
            <w:tcW w:type="dxa" w:w="2948"/>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color w:val="173F65"/>
                <w:sz w:val="17"/>
              </w:rPr>
              <w:t>UK Status der Berichterstattung über SRS</w:t>
            </w:r>
          </w:p>
        </w:tc>
        <w:tc>
          <w:tcPr>
            <w:tcW w:type="dxa" w:w="6860"/>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[Wollig/Aktual Bindungsroute Bestätigung]</w:t>
            </w:r>
          </w:p>
        </w:tc>
      </w:tr>
      <w:tr>
        <w:tc>
          <w:tcPr>
            <w:tcW w:type="dxa" w:w="2948"/>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color w:val="173F65"/>
                <w:sz w:val="17"/>
              </w:rPr>
              <w:t>UK SRS-Anspruch</w:t>
            </w:r>
          </w:p>
        </w:tc>
        <w:tc>
          <w:tcPr>
            <w:tcW w:type="dxa" w:w="686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[DRAFT-KLAIM FÜR ENDERMINGEN STATISCHUNG und ZUCHTELLUNG]</w:t>
            </w:r>
          </w:p>
        </w:tc>
      </w:tr>
      <w:tr>
        <w:tc>
          <w:tcPr>
            <w:tcW w:type="dxa" w:w="2948"/>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color w:val="173F65"/>
                <w:sz w:val="17"/>
              </w:rPr>
              <w:t>Vorbereitet von</w:t>
            </w:r>
          </w:p>
        </w:tc>
        <w:tc>
          <w:tcPr>
            <w:tcW w:type="dxa" w:w="6860"/>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[NAME / ROLE]</w:t>
            </w:r>
          </w:p>
        </w:tc>
      </w:tr>
      <w:tr>
        <w:tc>
          <w:tcPr>
            <w:tcW w:type="dxa" w:w="2948"/>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color w:val="173F65"/>
                <w:sz w:val="17"/>
              </w:rPr>
              <w:t>Technischer Prüfer</w:t>
            </w:r>
          </w:p>
        </w:tc>
        <w:tc>
          <w:tcPr>
            <w:tcW w:type="dxa" w:w="686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[NAME / ROLE]</w:t>
            </w:r>
          </w:p>
        </w:tc>
      </w:tr>
      <w:tr>
        <w:tc>
          <w:tcPr>
            <w:tcW w:type="dxa" w:w="2948"/>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color w:val="173F65"/>
                <w:sz w:val="17"/>
              </w:rPr>
              <w:t>Genehmigung des CFO</w:t>
            </w:r>
          </w:p>
        </w:tc>
        <w:tc>
          <w:tcPr>
            <w:tcW w:type="dxa" w:w="6860"/>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[DATE / STATUS]</w:t>
            </w:r>
          </w:p>
        </w:tc>
      </w:tr>
      <w:tr>
        <w:tc>
          <w:tcPr>
            <w:tcW w:type="dxa" w:w="2948"/>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color w:val="173F65"/>
                <w:sz w:val="17"/>
              </w:rPr>
              <w:t>Prüfungsausschuss</w:t>
            </w:r>
          </w:p>
        </w:tc>
        <w:tc>
          <w:tcPr>
            <w:tcW w:type="dxa" w:w="686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[DATE / STATUS]</w:t>
            </w:r>
          </w:p>
        </w:tc>
      </w:tr>
      <w:tr>
        <w:tc>
          <w:tcPr>
            <w:tcW w:type="dxa" w:w="2948"/>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color w:val="173F65"/>
                <w:sz w:val="17"/>
              </w:rPr>
              <w:t>Genehmigung des Verwaltungsrates</w:t>
            </w:r>
          </w:p>
        </w:tc>
        <w:tc>
          <w:tcPr>
            <w:tcW w:type="dxa" w:w="6860"/>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[DATE / STATUS]</w:t>
            </w:r>
          </w:p>
        </w:tc>
      </w:tr>
      <w:tr>
        <w:tc>
          <w:tcPr>
            <w:tcW w:type="dxa" w:w="2948"/>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color w:val="173F65"/>
                <w:sz w:val="17"/>
              </w:rPr>
              <w:t>Version und Release-Datum</w:t>
            </w:r>
          </w:p>
        </w:tc>
        <w:tc>
          <w:tcPr>
            <w:tcW w:type="dxa" w:w="686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[VERSION / DATE / ARCHIVE LOCATION]</w:t>
            </w:r>
          </w:p>
        </w:tc>
      </w:tr>
    </w:tbl>
    <w:p>
      <w:pPr>
        <w:spacing w:after="0"/>
      </w:pPr>
    </w:p>
    <w:p>
      <w:pPr>
        <w:pStyle w:val="Heading1"/>
      </w:pPr>
      <w:r>
        <w:t>Angebotene Inhalte</w:t>
      </w:r>
    </w:p>
    <w:tbl>
      <w:tblPr>
        <w:tblW w:type="auto" w:w="0"/>
        <w:jc w:val="center"/>
        <w:tblLook w:firstColumn="1" w:firstRow="1" w:lastColumn="0" w:lastRow="0" w:noHBand="0" w:noVBand="1" w:val="04A0"/>
        <w:tblLayout w:type="fixed"/>
      </w:tblPr>
      <w:tblGrid>
        <w:gridCol w:w="3345"/>
        <w:gridCol w:w="3345"/>
        <w:gridCol w:w="3345"/>
      </w:tblGrid>
      <w:tr>
        <w:trPr>
          <w:tblHeader w:val="true"/>
        </w:trPr>
        <w:tc>
          <w:tcPr>
            <w:tcW w:type="dxa" w:w="567"/>
            <w:shd w:fill="173F65"/>
            <w:tcMar>
              <w:top w:w="90" w:type="dxa"/>
              <w:start w:w="80" w:type="dxa"/>
              <w:bottom w:w="90" w:type="dxa"/>
              <w:end w:w="80" w:type="dxa"/>
            </w:tcMar>
            <w:tcBorders>
              <w:top w:val="single" w:sz="4" w:color="C8D2DC"/>
              <w:left w:val="single" w:sz="4" w:color="C8D2DC"/>
              <w:bottom w:val="single" w:sz="4" w:color="C8D2DC"/>
              <w:right w:val="single" w:sz="4" w:color="C8D2DC"/>
            </w:tcBorders>
          </w:tcPr>
          <w:p>
            <w:pPr>
              <w:spacing w:before="0" w:after="0" w:line="240" w:lineRule="auto"/>
              <w:jc w:val="left"/>
            </w:pPr>
            <w:r>
              <w:rPr>
                <w:rFonts w:ascii="Lato" w:hAnsi="Lato" w:eastAsia="Lato"/>
                <w:b/>
                <w:color w:val="FFFFFF"/>
                <w:sz w:val="18"/>
              </w:rPr>
              <w:t>#</w:t>
            </w:r>
          </w:p>
        </w:tc>
        <w:tc>
          <w:tcPr>
            <w:tcW w:type="dxa" w:w="6520"/>
            <w:shd w:fill="173F65"/>
            <w:tcMar>
              <w:top w:w="90" w:type="dxa"/>
              <w:start w:w="80" w:type="dxa"/>
              <w:bottom w:w="90" w:type="dxa"/>
              <w:end w:w="80" w:type="dxa"/>
            </w:tcMar>
            <w:tcBorders>
              <w:top w:val="single" w:sz="4" w:color="C8D2DC"/>
              <w:left w:val="single" w:sz="4" w:color="C8D2DC"/>
              <w:bottom w:val="single" w:sz="4" w:color="C8D2DC"/>
              <w:right w:val="single" w:sz="4" w:color="C8D2DC"/>
            </w:tcBorders>
          </w:tcPr>
          <w:p>
            <w:pPr>
              <w:spacing w:before="0" w:after="0" w:line="240" w:lineRule="auto"/>
              <w:jc w:val="left"/>
            </w:pPr>
            <w:r>
              <w:rPr>
                <w:rFonts w:ascii="Lato" w:hAnsi="Lato" w:eastAsia="Lato"/>
                <w:b/>
                <w:color w:val="FFFFFF"/>
                <w:sz w:val="18"/>
              </w:rPr>
              <w:t>Abschnitt</w:t>
            </w:r>
          </w:p>
        </w:tc>
        <w:tc>
          <w:tcPr>
            <w:tcW w:type="dxa" w:w="2721"/>
            <w:shd w:fill="173F65"/>
            <w:tcMar>
              <w:top w:w="90" w:type="dxa"/>
              <w:start w:w="80" w:type="dxa"/>
              <w:bottom w:w="90" w:type="dxa"/>
              <w:end w:w="80" w:type="dxa"/>
            </w:tcMar>
            <w:tcBorders>
              <w:top w:val="single" w:sz="4" w:color="C8D2DC"/>
              <w:left w:val="single" w:sz="4" w:color="C8D2DC"/>
              <w:bottom w:val="single" w:sz="4" w:color="C8D2DC"/>
              <w:right w:val="single" w:sz="4" w:color="C8D2DC"/>
            </w:tcBorders>
          </w:tcPr>
          <w:p>
            <w:pPr>
              <w:spacing w:before="0" w:after="0" w:line="240" w:lineRule="auto"/>
              <w:jc w:val="left"/>
            </w:pPr>
            <w:r>
              <w:rPr>
                <w:rFonts w:ascii="Lato" w:hAnsi="Lato" w:eastAsia="Lato"/>
                <w:b/>
                <w:color w:val="FFFFFF"/>
                <w:sz w:val="18"/>
              </w:rPr>
              <w:t>Arbeitsort / Seiten</w:t>
            </w:r>
          </w:p>
        </w:tc>
      </w:tr>
      <w:tr>
        <w:tc>
          <w:tcPr>
            <w:tcW w:type="dxa" w:w="567"/>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1</w:t>
            </w:r>
          </w:p>
        </w:tc>
        <w:tc>
          <w:tcPr>
            <w:tcW w:type="dxa" w:w="652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Grundlage der Vorbereitung und Konformitätserklärung</w:t>
            </w:r>
          </w:p>
        </w:tc>
        <w:tc>
          <w:tcPr>
            <w:tcW w:type="dxa" w:w="272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567"/>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2</w:t>
            </w:r>
          </w:p>
        </w:tc>
        <w:tc>
          <w:tcPr>
            <w:tcW w:type="dxa" w:w="6520"/>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Regierungsführung</w:t>
            </w:r>
          </w:p>
        </w:tc>
        <w:tc>
          <w:tcPr>
            <w:tcW w:type="dxa" w:w="272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567"/>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3</w:t>
            </w:r>
          </w:p>
        </w:tc>
        <w:tc>
          <w:tcPr>
            <w:tcW w:type="dxa" w:w="652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Klimabedingte Risiken und Chancen</w:t>
            </w:r>
          </w:p>
        </w:tc>
        <w:tc>
          <w:tcPr>
            <w:tcW w:type="dxa" w:w="272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567"/>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4</w:t>
            </w:r>
          </w:p>
        </w:tc>
        <w:tc>
          <w:tcPr>
            <w:tcW w:type="dxa" w:w="6520"/>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Strategie, Übergangsaktivitäten und Ressourcen</w:t>
            </w:r>
          </w:p>
        </w:tc>
        <w:tc>
          <w:tcPr>
            <w:tcW w:type="dxa" w:w="272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567"/>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5</w:t>
            </w:r>
          </w:p>
        </w:tc>
        <w:tc>
          <w:tcPr>
            <w:tcW w:type="dxa" w:w="652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Szenarioanalyse und Klimaresistenz</w:t>
            </w:r>
          </w:p>
        </w:tc>
        <w:tc>
          <w:tcPr>
            <w:tcW w:type="dxa" w:w="272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567"/>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6</w:t>
            </w:r>
          </w:p>
        </w:tc>
        <w:tc>
          <w:tcPr>
            <w:tcW w:type="dxa" w:w="6520"/>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Aktuelle und erwartete finanzielle Auswirkungen</w:t>
            </w:r>
          </w:p>
        </w:tc>
        <w:tc>
          <w:tcPr>
            <w:tcW w:type="dxa" w:w="272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567"/>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7</w:t>
            </w:r>
          </w:p>
        </w:tc>
        <w:tc>
          <w:tcPr>
            <w:tcW w:type="dxa" w:w="652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Risikomanagement</w:t>
            </w:r>
          </w:p>
        </w:tc>
        <w:tc>
          <w:tcPr>
            <w:tcW w:type="dxa" w:w="272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567"/>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8</w:t>
            </w:r>
          </w:p>
        </w:tc>
        <w:tc>
          <w:tcPr>
            <w:tcW w:type="dxa" w:w="6520"/>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Klimametriken und -ziele</w:t>
            </w:r>
          </w:p>
        </w:tc>
        <w:tc>
          <w:tcPr>
            <w:tcW w:type="dxa" w:w="272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567"/>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9</w:t>
            </w:r>
          </w:p>
        </w:tc>
        <w:tc>
          <w:tcPr>
            <w:tcW w:type="dxa" w:w="652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GHG Emissionen und finanzierte Emissionen</w:t>
            </w:r>
          </w:p>
        </w:tc>
        <w:tc>
          <w:tcPr>
            <w:tcW w:type="dxa" w:w="272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567"/>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10</w:t>
            </w:r>
          </w:p>
        </w:tc>
        <w:tc>
          <w:tcPr>
            <w:tcW w:type="dxa" w:w="6520"/>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Urteile, Schätzungen, Bestimmungen und Änderungen</w:t>
            </w:r>
          </w:p>
        </w:tc>
        <w:tc>
          <w:tcPr>
            <w:tcW w:type="dxa" w:w="272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567"/>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11</w:t>
            </w:r>
          </w:p>
        </w:tc>
        <w:tc>
          <w:tcPr>
            <w:tcW w:type="dxa" w:w="652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Offenlegungsindex und Querverweise</w:t>
            </w:r>
          </w:p>
        </w:tc>
        <w:tc>
          <w:tcPr>
            <w:tcW w:type="dxa" w:w="272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bl>
    <w:p>
      <w:pPr>
        <w:spacing w:after="0"/>
      </w:pPr>
    </w:p>
    <w:p>
      <w:pPr>
        <w:pStyle w:val="Heading1"/>
      </w:pPr>
      <w:r>
        <w:t>1. Grundlage der Vorbereitung und Einhaltungserklärung</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pPr>
            <w:r>
              <w:rPr>
                <w:rFonts w:ascii="Lato" w:hAnsi="Lato" w:eastAsia="Lato"/>
                <w:b/>
                <w:color w:val="173F65"/>
                <w:sz w:val="17"/>
              </w:rPr>
              <w:t>PURPOSE</w:t>
            </w:r>
          </w:p>
          <w:p>
            <w:pPr>
              <w:spacing w:before="0" w:after="0" w:line="259" w:lineRule="auto"/>
            </w:pPr>
            <w:r>
              <w:rPr>
                <w:rFonts w:ascii="Lato" w:hAnsi="Lato" w:eastAsia="Lato"/>
                <w:b w:val="0"/>
                <w:color w:val="173F65"/>
                <w:sz w:val="18"/>
              </w:rPr>
              <w:t>Erklären Sie, welcher Bericht erstellt wurde, für welche Stelle und Zeitraum, wie wesentliche Informationen ausgewählt wurden, wo sich die Informationen befinden und welche UK Bestimmungen oder Berichtswege betreffen die Forderung.</w:t>
            </w:r>
          </w:p>
        </w:tc>
      </w:tr>
    </w:tbl>
    <w:p>
      <w:pPr>
        <w:spacing w:after="0"/>
      </w:pPr>
    </w:p>
    <w:p>
      <w:pPr>
        <w:pStyle w:val="Heading2"/>
      </w:pPr>
      <w:r>
        <w:t>1.1 Berichtsgrundlage</w:t>
      </w:r>
    </w:p>
    <w:p>
      <w:pPr>
        <w:spacing w:before="0" w:after="80" w:line="269" w:lineRule="auto"/>
      </w:pPr>
      <w:r>
        <w:rPr>
          <w:rFonts w:ascii="Lato" w:hAnsi="Lato" w:eastAsia="Lato"/>
          <w:i w:val="0"/>
          <w:color w:val="26384A"/>
          <w:sz w:val="19"/>
        </w:rPr>
        <w:t>[INSERT: Berichtspflichtige Einrichtung; gleiche Einheit wie die Abschlüsse; Berichtszeitraum; Währung und Einheiten, soweit relevant; ob Informationen konsolidiert sind; wesentliche Erwerb/Verzicht; klimaspezifische Grenzgrenzen.]</w:t>
      </w:r>
    </w:p>
    <w:p>
      <w:pPr>
        <w:pStyle w:val="Heading2"/>
      </w:pPr>
      <w:r>
        <w:t>1.2 Materialität</w:t>
      </w:r>
    </w:p>
    <w:p>
      <w:pPr>
        <w:spacing w:before="0" w:after="80" w:line="269" w:lineRule="auto"/>
      </w:pPr>
      <w:r>
        <w:rPr>
          <w:rFonts w:ascii="Lato" w:hAnsi="Lato" w:eastAsia="Lato"/>
          <w:i w:val="0"/>
          <w:color w:val="26384A"/>
          <w:sz w:val="19"/>
        </w:rPr>
        <w:t>[INSERT: Wie für primäre Nutzer wesentliche klimaschutzbedingte Risiken und Chancen identifiziert wurden; Art und Größe; Quellen; Governance; Änderungen seit einer vorherigen Bewertung.]</w:t>
      </w:r>
    </w:p>
    <w:p>
      <w:pPr>
        <w:pStyle w:val="Heading2"/>
      </w:pPr>
      <w:r>
        <w:t>1.3 Verwendete Quellen und Industriezweige</w:t>
      </w:r>
    </w:p>
    <w:p>
      <w:pPr>
        <w:spacing w:before="0" w:after="80" w:line="269" w:lineRule="auto"/>
      </w:pPr>
      <w:r>
        <w:rPr>
          <w:rFonts w:ascii="Lato" w:hAnsi="Lato" w:eastAsia="Lato"/>
          <w:i w:val="0"/>
          <w:color w:val="26384A"/>
          <w:sz w:val="19"/>
        </w:rPr>
        <w:t>[INSERT: UK SRS-Quellen; tatsächlich angewandte Branchen und Leitlinien; von Unternehmen entwickelte Messwerte; Quellversionen.]</w:t>
      </w:r>
    </w:p>
    <w:p>
      <w:pPr>
        <w:pStyle w:val="Heading2"/>
      </w:pPr>
      <w:r>
        <w:t>1.4 Standort und Querverweise</w:t>
      </w:r>
    </w:p>
    <w:p>
      <w:pPr>
        <w:spacing w:before="0" w:after="80" w:line="269" w:lineRule="auto"/>
      </w:pPr>
      <w:r>
        <w:rPr>
          <w:rFonts w:ascii="Lato" w:hAnsi="Lato" w:eastAsia="Lato"/>
          <w:i w:val="0"/>
          <w:color w:val="26384A"/>
          <w:sz w:val="19"/>
        </w:rPr>
        <w:t>[INSERT: Standort des Jahresberichts; Einbeziehungsprozess nach Bezugnahme; genaue Referenzdokumente/Seiten; gleichzeitige Verfügbarkeit und Archive-Kontrollen.]</w:t>
      </w:r>
    </w:p>
    <w:p>
      <w:pPr>
        <w:pStyle w:val="Heading2"/>
      </w:pPr>
      <w:r>
        <w:t>1.5 Bestimmungen und Erklärungen zur Einhaltung</w:t>
      </w:r>
    </w:p>
    <w:p>
      <w:pPr>
        <w:spacing w:before="0" w:after="80" w:line="269" w:lineRule="auto"/>
      </w:pPr>
      <w:r>
        <w:rPr>
          <w:rFonts w:ascii="Lato" w:hAnsi="Lato" w:eastAsia="Lato"/>
          <w:i w:val="0"/>
          <w:color w:val="26384A"/>
          <w:sz w:val="19"/>
        </w:rPr>
        <w:t>[INSERT: genaue] UK SRS E3/C3/C4 oder andere gebrauchte Bestimmung; Zustand; betroffene Informationen; Vergleichseffekt; Bindungsroutebeschränkung; Wirkung auf UK SRS S1/S2 und alle IFRS Anspruch.]</w:t>
      </w:r>
    </w:p>
    <w:p>
      <w:pPr>
        <w:pStyle w:val="Heading2"/>
      </w:pPr>
      <w:r>
        <w:t>Beweise und Kontrollanweisungen</w:t>
      </w:r>
    </w:p>
    <w:p>
      <w:pPr>
        <w:pStyle w:val="ListBullet"/>
        <w:spacing w:before="0" w:after="60" w:line="259" w:lineRule="auto"/>
      </w:pPr>
      <w:r>
        <w:rPr>
          <w:rFonts w:ascii="Lato" w:hAnsi="Lato" w:eastAsia="Lato"/>
          <w:color w:val="26384A"/>
          <w:sz w:val="19"/>
        </w:rPr>
        <w:t>☐ Berichtspflichtige, die mit den Abschlüssen vereinbar sind.</w:t>
      </w:r>
    </w:p>
    <w:p>
      <w:pPr>
        <w:pStyle w:val="ListBullet"/>
        <w:spacing w:before="0" w:after="60" w:line="259" w:lineRule="auto"/>
      </w:pPr>
      <w:r>
        <w:rPr>
          <w:rFonts w:ascii="Lato" w:hAnsi="Lato" w:eastAsia="Lato"/>
          <w:color w:val="26384A"/>
          <w:sz w:val="19"/>
        </w:rPr>
        <w:t>☐ Materialitätsregister genehmigt.</w:t>
      </w:r>
    </w:p>
    <w:p>
      <w:pPr>
        <w:pStyle w:val="ListBullet"/>
        <w:spacing w:before="0" w:after="60" w:line="259" w:lineRule="auto"/>
      </w:pPr>
      <w:r>
        <w:rPr>
          <w:rFonts w:ascii="Lato" w:hAnsi="Lato" w:eastAsia="Lato"/>
          <w:color w:val="26384A"/>
          <w:sz w:val="19"/>
        </w:rPr>
        <w:t>☐ Quellen- und Industrieregister vollständig.</w:t>
      </w:r>
    </w:p>
    <w:p>
      <w:pPr>
        <w:pStyle w:val="ListBullet"/>
        <w:spacing w:before="0" w:after="60" w:line="259" w:lineRule="auto"/>
      </w:pPr>
      <w:r>
        <w:rPr>
          <w:rFonts w:ascii="Lato" w:hAnsi="Lato" w:eastAsia="Lato"/>
          <w:color w:val="26384A"/>
          <w:sz w:val="19"/>
        </w:rPr>
        <w:t>☐ Verkreuzer Referenzen bei der Freigabe getestet.</w:t>
      </w:r>
    </w:p>
    <w:p>
      <w:pPr>
        <w:pStyle w:val="ListBullet"/>
        <w:spacing w:before="0" w:after="60" w:line="259" w:lineRule="auto"/>
      </w:pPr>
      <w:r>
        <w:rPr>
          <w:rFonts w:ascii="Lato" w:hAnsi="Lato" w:eastAsia="Lato"/>
          <w:color w:val="26384A"/>
          <w:sz w:val="19"/>
        </w:rPr>
        <w:t>☐ Genehmigung des Vorbehalt- und Anspruchsprotokolls.</w:t>
      </w:r>
    </w:p>
    <w:p>
      <w:pPr>
        <w:pStyle w:val="Heading1"/>
      </w:pPr>
      <w:r>
        <w:t>2- Regierungsführung</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pPr>
            <w:r>
              <w:rPr>
                <w:rFonts w:ascii="Lato" w:hAnsi="Lato" w:eastAsia="Lato"/>
                <w:b/>
                <w:color w:val="173F65"/>
                <w:sz w:val="17"/>
              </w:rPr>
              <w:t>PURPOSE</w:t>
            </w:r>
          </w:p>
          <w:p>
            <w:pPr>
              <w:spacing w:before="0" w:after="0" w:line="259" w:lineRule="auto"/>
            </w:pPr>
            <w:r>
              <w:rPr>
                <w:rFonts w:ascii="Lato" w:hAnsi="Lato" w:eastAsia="Lato"/>
                <w:b w:val="0"/>
                <w:color w:val="173F65"/>
                <w:sz w:val="18"/>
              </w:rPr>
              <w:t>Beschreiben Sie tatsächliche Aufsichts- und Managementprozesse, nicht nur die Governance-Struktur.</w:t>
            </w:r>
          </w:p>
        </w:tc>
      </w:tr>
    </w:tbl>
    <w:p>
      <w:pPr>
        <w:spacing w:after="0"/>
      </w:pPr>
    </w:p>
    <w:p>
      <w:pPr>
        <w:pStyle w:val="Heading2"/>
      </w:pPr>
      <w:r>
        <w:t>2.1 Aufsicht der Regierungsstelle</w:t>
      </w:r>
    </w:p>
    <w:p>
      <w:pPr>
        <w:spacing w:before="0" w:after="80" w:line="269" w:lineRule="auto"/>
      </w:pPr>
      <w:r>
        <w:rPr>
          <w:rFonts w:ascii="Lato" w:hAnsi="Lato" w:eastAsia="Lato"/>
          <w:i w:val="0"/>
          <w:color w:val="26384A"/>
          <w:sz w:val="19"/>
        </w:rPr>
        <w:t>[INSERT: Verwaltungs- und Ausschussmandat; Verantwortlichkeiten; Information und Häufigkeit; Fähigkeiten; Strategie- und Transaktionsentscheidungen; Zielüberwachung; Entscheidungen während des Zeitraums; Änderungen.]</w:t>
      </w:r>
    </w:p>
    <w:p>
      <w:pPr>
        <w:pStyle w:val="Heading2"/>
      </w:pPr>
      <w:r>
        <w:t>2.2 Führungsrollen und Kontrollen</w:t>
      </w:r>
    </w:p>
    <w:p>
      <w:pPr>
        <w:spacing w:before="0" w:after="80" w:line="269" w:lineRule="auto"/>
      </w:pPr>
      <w:r>
        <w:rPr>
          <w:rFonts w:ascii="Lato" w:hAnsi="Lato" w:eastAsia="Lato"/>
          <w:i w:val="0"/>
          <w:color w:val="26384A"/>
          <w:sz w:val="19"/>
        </w:rPr>
        <w:t>[INSERT: benannte Führungspositionen; Berichtslinien; Daten- und Kontrollverantwortlichkeiten; Eskalation; interne Ausschüsse; Managementvertretungen.]</w:t>
      </w:r>
    </w:p>
    <w:p>
      <w:pPr>
        <w:pStyle w:val="Heading2"/>
      </w:pPr>
      <w:r>
        <w:t>2.3 Vergütung</w:t>
      </w:r>
    </w:p>
    <w:p>
      <w:pPr>
        <w:spacing w:before="0" w:after="80" w:line="269" w:lineRule="auto"/>
      </w:pPr>
      <w:r>
        <w:rPr>
          <w:rFonts w:ascii="Lato" w:hAnsi="Lato" w:eastAsia="Lato"/>
          <w:i w:val="0"/>
          <w:color w:val="26384A"/>
          <w:sz w:val="19"/>
        </w:rPr>
        <w:t>[INSERT: ob und wie Klimabeachtungen in die Vergütung eintreten; Bevölkerung; Metriken; Gewichtung; Ergebnis; Governance-Bestimmung.]</w:t>
      </w:r>
    </w:p>
    <w:p>
      <w:pPr>
        <w:pStyle w:val="Heading2"/>
      </w:pPr>
      <w:r>
        <w:t>Beweise und Kontrollanweisungen</w:t>
      </w:r>
    </w:p>
    <w:p>
      <w:pPr>
        <w:pStyle w:val="ListBullet"/>
        <w:spacing w:before="0" w:after="60" w:line="259" w:lineRule="auto"/>
      </w:pPr>
      <w:r>
        <w:rPr>
          <w:rFonts w:ascii="Lato" w:hAnsi="Lato" w:eastAsia="Lato"/>
          <w:color w:val="26384A"/>
          <w:sz w:val="19"/>
        </w:rPr>
        <w:t>☐ Mandate und Ausschussbestimmungen sind aktuell.</w:t>
      </w:r>
    </w:p>
    <w:p>
      <w:pPr>
        <w:pStyle w:val="ListBullet"/>
        <w:spacing w:before="0" w:after="60" w:line="259" w:lineRule="auto"/>
      </w:pPr>
      <w:r>
        <w:rPr>
          <w:rFonts w:ascii="Lato" w:hAnsi="Lato" w:eastAsia="Lato"/>
          <w:color w:val="26384A"/>
          <w:sz w:val="19"/>
        </w:rPr>
        <w:t>☐ Die Vorstandsdokumente und das Protokoll unterstützen die Ansprüche.</w:t>
      </w:r>
    </w:p>
    <w:p>
      <w:pPr>
        <w:pStyle w:val="ListBullet"/>
        <w:spacing w:before="0" w:after="60" w:line="259" w:lineRule="auto"/>
      </w:pPr>
      <w:r>
        <w:rPr>
          <w:rFonts w:ascii="Lato" w:hAnsi="Lato" w:eastAsia="Lato"/>
          <w:color w:val="26384A"/>
          <w:sz w:val="19"/>
        </w:rPr>
        <w:t>☐ Die Beschreibung der Managementrolle entspricht der tatsächlichen Tätigkeit.</w:t>
      </w:r>
    </w:p>
    <w:p>
      <w:pPr>
        <w:pStyle w:val="ListBullet"/>
        <w:spacing w:before="0" w:after="60" w:line="259" w:lineRule="auto"/>
      </w:pPr>
      <w:r>
        <w:rPr>
          <w:rFonts w:ascii="Lato" w:hAnsi="Lato" w:eastAsia="Lato"/>
          <w:color w:val="26384A"/>
          <w:sz w:val="19"/>
        </w:rPr>
        <w:t>☐ Vergleicht und genehmigte Vergütungsdaten.</w:t>
      </w:r>
    </w:p>
    <w:p>
      <w:pPr>
        <w:pStyle w:val="Heading1"/>
      </w:pPr>
      <w:r>
        <w:t>3- Klimabedingte Risiken und Chancen</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pPr>
            <w:r>
              <w:rPr>
                <w:rFonts w:ascii="Lato" w:hAnsi="Lato" w:eastAsia="Lato"/>
                <w:b/>
                <w:color w:val="173F65"/>
                <w:sz w:val="17"/>
              </w:rPr>
              <w:t>PURPOSE</w:t>
            </w:r>
          </w:p>
          <w:p>
            <w:pPr>
              <w:spacing w:before="0" w:after="0" w:line="259" w:lineRule="auto"/>
            </w:pPr>
            <w:r>
              <w:rPr>
                <w:rFonts w:ascii="Lato" w:hAnsi="Lato" w:eastAsia="Lato"/>
                <w:b w:val="0"/>
                <w:color w:val="173F65"/>
                <w:sz w:val="18"/>
              </w:rPr>
              <w:t>Identifizieren von materiellen physikalischen Risiken und Übergangsmöglichkeiten sowie Klimachancen, deren Zeithorizonte, Konzentrationen und Übertragungswege.</w:t>
            </w:r>
          </w:p>
        </w:tc>
      </w:tr>
    </w:tbl>
    <w:p>
      <w:pPr>
        <w:spacing w:after="0"/>
      </w:pPr>
    </w:p>
    <w:p>
      <w:pPr>
        <w:pStyle w:val="Heading2"/>
      </w:pPr>
      <w:r>
        <w:t>3.1 Zeithorizonte</w:t>
      </w:r>
    </w:p>
    <w:p>
      <w:pPr>
        <w:spacing w:before="0" w:after="80" w:line="269" w:lineRule="auto"/>
      </w:pPr>
      <w:r>
        <w:rPr>
          <w:rFonts w:ascii="Lato" w:hAnsi="Lato" w:eastAsia="Lato"/>
          <w:i w:val="0"/>
          <w:color w:val="26384A"/>
          <w:sz w:val="19"/>
        </w:rPr>
        <w:t>[INSERT: Datum für kurz-, mittelfristige und langfristige Horizonte und Beziehung zu Planungszyklen, Vermögenswertszeiten und strategischen Entscheidungen.]</w:t>
      </w:r>
    </w:p>
    <w:p>
      <w:pPr>
        <w:pStyle w:val="Heading2"/>
      </w:pPr>
      <w:r>
        <w:t>3.2 Tabelle der materiellen Angelegenheiten</w:t>
      </w:r>
    </w:p>
    <w:p>
      <w:pPr>
        <w:spacing w:before="0" w:after="80" w:line="269" w:lineRule="auto"/>
      </w:pPr>
      <w:r>
        <w:rPr>
          <w:rFonts w:ascii="Lato" w:hAnsi="Lato" w:eastAsia="Lato"/>
          <w:i w:val="0"/>
          <w:color w:val="26384A"/>
          <w:sz w:val="19"/>
        </w:rPr>
        <w:t>[INSERTTABEL: ID; Risiko/Möglichkeit; physikalischer/übergangs-/möglichkeitsbereich; Zeithorizont; Geographie/Aktivität/Wertkette; Wahrscheinlichkeit/Großheit; finanzieller Weg; Eigentümer; Überwachungsindikator.]</w:t>
      </w:r>
    </w:p>
    <w:p>
      <w:pPr>
        <w:pStyle w:val="Heading2"/>
      </w:pPr>
      <w:r>
        <w:t>3.3 Änderungen gegenüber dem Vorjahr</w:t>
      </w:r>
    </w:p>
    <w:p>
      <w:pPr>
        <w:spacing w:before="0" w:after="80" w:line="269" w:lineRule="auto"/>
      </w:pPr>
      <w:r>
        <w:rPr>
          <w:rFonts w:ascii="Lato" w:hAnsi="Lato" w:eastAsia="Lato"/>
          <w:i w:val="0"/>
          <w:color w:val="26384A"/>
          <w:sz w:val="19"/>
        </w:rPr>
        <w:t>[INSERT: neue, geändert, neu priorisierte oder entfernte Angelegenheiten und Gründe.]</w:t>
      </w:r>
    </w:p>
    <w:p>
      <w:pPr>
        <w:pStyle w:val="Heading2"/>
      </w:pPr>
      <w:r>
        <w:t>Beweise und Kontrollanweisungen</w:t>
      </w:r>
    </w:p>
    <w:p>
      <w:pPr>
        <w:pStyle w:val="ListBullet"/>
        <w:spacing w:before="0" w:after="60" w:line="259" w:lineRule="auto"/>
      </w:pPr>
      <w:r>
        <w:rPr>
          <w:rFonts w:ascii="Lato" w:hAnsi="Lato" w:eastAsia="Lato"/>
          <w:color w:val="26384A"/>
          <w:sz w:val="19"/>
        </w:rPr>
        <w:t>☐ Das Risiko- und Chancenregister ist vollständig.</w:t>
      </w:r>
    </w:p>
    <w:p>
      <w:pPr>
        <w:pStyle w:val="ListBullet"/>
        <w:spacing w:before="0" w:after="60" w:line="259" w:lineRule="auto"/>
      </w:pPr>
      <w:r>
        <w:rPr>
          <w:rFonts w:ascii="Lato" w:hAnsi="Lato" w:eastAsia="Lato"/>
          <w:color w:val="26384A"/>
          <w:sz w:val="19"/>
        </w:rPr>
        <w:t>☐ Die Logik der Materialität ist erhalten.</w:t>
      </w:r>
    </w:p>
    <w:p>
      <w:pPr>
        <w:pStyle w:val="ListBullet"/>
        <w:spacing w:before="0" w:after="60" w:line="259" w:lineRule="auto"/>
      </w:pPr>
      <w:r>
        <w:rPr>
          <w:rFonts w:ascii="Lato" w:hAnsi="Lato" w:eastAsia="Lato"/>
          <w:color w:val="26384A"/>
          <w:sz w:val="19"/>
        </w:rPr>
        <w:t>☐ Konzentrationen und Verbindungen zur Wertschöpfungskette getestet.</w:t>
      </w:r>
    </w:p>
    <w:p>
      <w:pPr>
        <w:pStyle w:val="ListBullet"/>
        <w:spacing w:before="0" w:after="60" w:line="259" w:lineRule="auto"/>
      </w:pPr>
      <w:r>
        <w:rPr>
          <w:rFonts w:ascii="Lato" w:hAnsi="Lato" w:eastAsia="Lato"/>
          <w:color w:val="26384A"/>
          <w:sz w:val="19"/>
        </w:rPr>
        <w:t>☐ Finanzielle Wege sind abgebildet.</w:t>
      </w:r>
    </w:p>
    <w:p>
      <w:pPr>
        <w:pStyle w:val="Heading1"/>
      </w:pPr>
      <w:r>
        <w:t>4- Strategie, Übergangsaktivitäten und Ressourcen</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pPr>
            <w:r>
              <w:rPr>
                <w:rFonts w:ascii="Lato" w:hAnsi="Lato" w:eastAsia="Lato"/>
                <w:b/>
                <w:color w:val="173F65"/>
                <w:sz w:val="17"/>
              </w:rPr>
              <w:t>PURPOSE</w:t>
            </w:r>
          </w:p>
          <w:p>
            <w:pPr>
              <w:spacing w:before="0" w:after="0" w:line="259" w:lineRule="auto"/>
            </w:pPr>
            <w:r>
              <w:rPr>
                <w:rFonts w:ascii="Lato" w:hAnsi="Lato" w:eastAsia="Lato"/>
                <w:b w:val="0"/>
                <w:color w:val="173F65"/>
                <w:sz w:val="18"/>
              </w:rPr>
              <w:t>Erklären Sie, wie wesentliche Klimafragen das Geschäftsmodell, die Wertschöpfungskette, die Entscheidungsfindung und die Ressourcenzuweisung beeinflussen.</w:t>
            </w:r>
          </w:p>
        </w:tc>
      </w:tr>
    </w:tbl>
    <w:p>
      <w:pPr>
        <w:spacing w:after="0"/>
      </w:pPr>
    </w:p>
    <w:p>
      <w:pPr>
        <w:pStyle w:val="Heading2"/>
      </w:pPr>
      <w:r>
        <w:t>4.1 Geschäftsmodell und Wirkung der Wertschöpfungskette</w:t>
      </w:r>
    </w:p>
    <w:p>
      <w:pPr>
        <w:spacing w:before="0" w:after="80" w:line="269" w:lineRule="auto"/>
      </w:pPr>
      <w:r>
        <w:rPr>
          <w:rFonts w:ascii="Lato" w:hAnsi="Lato" w:eastAsia="Lato"/>
          <w:i w:val="0"/>
          <w:color w:val="26384A"/>
          <w:sz w:val="19"/>
        </w:rPr>
        <w:t>[INSERT: betroffene Produkte, Dienstleistungen, Vermögenswerte, Märkte, Lieferanten, Kunden, Finanzierung und Abhängigkeiten.]</w:t>
      </w:r>
    </w:p>
    <w:p>
      <w:pPr>
        <w:pStyle w:val="Heading2"/>
      </w:pPr>
      <w:r>
        <w:t>4.2 Strategische Reaktion</w:t>
      </w:r>
    </w:p>
    <w:p>
      <w:pPr>
        <w:spacing w:before="0" w:after="80" w:line="269" w:lineRule="auto"/>
      </w:pPr>
      <w:r>
        <w:rPr>
          <w:rFonts w:ascii="Lato" w:hAnsi="Lato" w:eastAsia="Lato"/>
          <w:i w:val="0"/>
          <w:color w:val="26384A"/>
          <w:sz w:val="19"/>
        </w:rPr>
        <w:t>[INSERT: Maßnahmen, Kompensationen, direkte/indirekte Minderung, Anpassung, Chancen, Änderungen der Strategie und Fortschritte.]</w:t>
      </w:r>
    </w:p>
    <w:p>
      <w:pPr>
        <w:pStyle w:val="Heading2"/>
      </w:pPr>
      <w:r>
        <w:t>4.3 Übergangsplan wenn es einen gibt</w:t>
      </w:r>
    </w:p>
    <w:p>
      <w:pPr>
        <w:spacing w:before="0" w:after="80" w:line="269" w:lineRule="auto"/>
      </w:pPr>
      <w:r>
        <w:rPr>
          <w:rFonts w:ascii="Lato" w:hAnsi="Lato" w:eastAsia="Lato"/>
          <w:i w:val="0"/>
          <w:color w:val="26384A"/>
          <w:sz w:val="19"/>
        </w:rPr>
        <w:t>[INSERT: Planstatus, Ziel, Ziele, Maßnahmen, Ressourcen, Annahmen, Abhängigkeiten, Governance und Fortschritt. Stellen Sie klar an, ob kein formeller Plan existiert.]</w:t>
      </w:r>
    </w:p>
    <w:p>
      <w:pPr>
        <w:pStyle w:val="Heading2"/>
      </w:pPr>
      <w:r>
        <w:t>4.4 Ressourcen und Kapitalentwicklung</w:t>
      </w:r>
    </w:p>
    <w:p>
      <w:pPr>
        <w:spacing w:before="0" w:after="80" w:line="269" w:lineRule="auto"/>
      </w:pPr>
      <w:r>
        <w:rPr>
          <w:rFonts w:ascii="Lato" w:hAnsi="Lato" w:eastAsia="Lato"/>
          <w:i w:val="0"/>
          <w:color w:val="26384A"/>
          <w:sz w:val="19"/>
        </w:rPr>
        <w:t>[INSERT: ausgewendet, verpflichtet, genehmigt, geplant und angestrebt Capex/opex; Finanzierungsquelle; Zeitraum; Bedingungen; Abhängigkeiten.]</w:t>
      </w:r>
    </w:p>
    <w:p>
      <w:pPr>
        <w:pStyle w:val="Heading2"/>
      </w:pPr>
      <w:r>
        <w:t>Beweise und Kontrollanweisungen</w:t>
      </w:r>
    </w:p>
    <w:p>
      <w:pPr>
        <w:pStyle w:val="ListBullet"/>
        <w:spacing w:before="0" w:after="60" w:line="259" w:lineRule="auto"/>
      </w:pPr>
      <w:r>
        <w:rPr>
          <w:rFonts w:ascii="Lato" w:hAnsi="Lato" w:eastAsia="Lato"/>
          <w:color w:val="26384A"/>
          <w:sz w:val="19"/>
        </w:rPr>
        <w:t>☐ Aktionen und Ressourcen, die zur Finanzierung von Plänen vereinheitlicht wurden.</w:t>
      </w:r>
    </w:p>
    <w:p>
      <w:pPr>
        <w:pStyle w:val="ListBullet"/>
        <w:spacing w:before="0" w:after="60" w:line="259" w:lineRule="auto"/>
      </w:pPr>
      <w:r>
        <w:rPr>
          <w:rFonts w:ascii="Lato" w:hAnsi="Lato" w:eastAsia="Lato"/>
          <w:color w:val="26384A"/>
          <w:sz w:val="19"/>
        </w:rPr>
        <w:t>☐ Die Ansprüche des Übergangsplans entsprechen dem genehmigten Plan.</w:t>
      </w:r>
    </w:p>
    <w:p>
      <w:pPr>
        <w:pStyle w:val="ListBullet"/>
        <w:spacing w:before="0" w:after="60" w:line="259" w:lineRule="auto"/>
      </w:pPr>
      <w:r>
        <w:rPr>
          <w:rFonts w:ascii="Lato" w:hAnsi="Lato" w:eastAsia="Lato"/>
          <w:color w:val="26384A"/>
          <w:sz w:val="19"/>
        </w:rPr>
        <w:t>☐ Abhängigkeiten und Konditionalität sind sichtbar.</w:t>
      </w:r>
    </w:p>
    <w:p>
      <w:pPr>
        <w:pStyle w:val="ListBullet"/>
        <w:spacing w:before="0" w:after="60" w:line="259" w:lineRule="auto"/>
      </w:pPr>
      <w:r>
        <w:rPr>
          <w:rFonts w:ascii="Lato" w:hAnsi="Lato" w:eastAsia="Lato"/>
          <w:color w:val="26384A"/>
          <w:sz w:val="19"/>
        </w:rPr>
        <w:t>☐ Der Fortschritt umfasst Verzögerungen und Veränderungen.</w:t>
      </w:r>
    </w:p>
    <w:p>
      <w:pPr>
        <w:pStyle w:val="Heading1"/>
      </w:pPr>
      <w:r>
        <w:t>5- Szenarioanalyse und Klimaresistenz</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pPr>
            <w:r>
              <w:rPr>
                <w:rFonts w:ascii="Lato" w:hAnsi="Lato" w:eastAsia="Lato"/>
                <w:b/>
                <w:color w:val="173F65"/>
                <w:sz w:val="17"/>
              </w:rPr>
              <w:t>PURPOSE</w:t>
            </w:r>
          </w:p>
          <w:p>
            <w:pPr>
              <w:spacing w:before="0" w:after="0" w:line="259" w:lineRule="auto"/>
            </w:pPr>
            <w:r>
              <w:rPr>
                <w:rFonts w:ascii="Lato" w:hAnsi="Lato" w:eastAsia="Lato"/>
                <w:b w:val="0"/>
                <w:color w:val="173F65"/>
                <w:sz w:val="18"/>
              </w:rPr>
              <w:t>Erläutern Sie eine verhältnismäßige Szenario-Methode und eine ausgewogene Bewertung der Anpassungsfähigkeit und der Verletzlichkeit.</w:t>
            </w:r>
          </w:p>
        </w:tc>
      </w:tr>
    </w:tbl>
    <w:p>
      <w:pPr>
        <w:spacing w:after="0"/>
      </w:pPr>
    </w:p>
    <w:p>
      <w:pPr>
        <w:pStyle w:val="Heading2"/>
      </w:pPr>
      <w:r>
        <w:t>5.1 Methode und Umfang</w:t>
      </w:r>
    </w:p>
    <w:p>
      <w:pPr>
        <w:spacing w:before="0" w:after="80" w:line="269" w:lineRule="auto"/>
      </w:pPr>
      <w:r>
        <w:rPr>
          <w:rFonts w:ascii="Lato" w:hAnsi="Lato" w:eastAsia="Lato"/>
          <w:i w:val="0"/>
          <w:color w:val="26384A"/>
          <w:sz w:val="19"/>
        </w:rPr>
        <w:t>[INSERT: Zweck; wesentliche Risiken/Möglichkeiten; Szenarioquellen/Versionen; physische und Übergangswege; Geographie/Assets/Portfolios; Zeithorizonte; qualitative/quantitative Methode.]</w:t>
      </w:r>
    </w:p>
    <w:p>
      <w:pPr>
        <w:pStyle w:val="Heading2"/>
      </w:pPr>
      <w:r>
        <w:t>5.2 Annahmen und Einschränkungen</w:t>
      </w:r>
    </w:p>
    <w:p>
      <w:pPr>
        <w:spacing w:before="0" w:after="80" w:line="269" w:lineRule="auto"/>
      </w:pPr>
      <w:r>
        <w:rPr>
          <w:rFonts w:ascii="Lato" w:hAnsi="Lato" w:eastAsia="Lato"/>
          <w:i w:val="0"/>
          <w:color w:val="26384A"/>
          <w:sz w:val="19"/>
        </w:rPr>
        <w:t>[INSERT: Temperatur, Politik, Technologie, Nachfrage, Preis, Gefahr, finanzielle Annahmen; Ausschlüsse; Datenbeschränkungen; Modellunsicherheit.]</w:t>
      </w:r>
    </w:p>
    <w:p>
      <w:pPr>
        <w:pStyle w:val="Heading2"/>
      </w:pPr>
      <w:r>
        <w:t>5.3 Ergebnisse und Entscheidungsanwendung</w:t>
      </w:r>
    </w:p>
    <w:p>
      <w:pPr>
        <w:spacing w:before="0" w:after="80" w:line="269" w:lineRule="auto"/>
      </w:pPr>
      <w:r>
        <w:rPr>
          <w:rFonts w:ascii="Lato" w:hAnsi="Lato" w:eastAsia="Lato"/>
          <w:i w:val="0"/>
          <w:color w:val="26384A"/>
          <w:sz w:val="19"/>
        </w:rPr>
        <w:t>[INSERT: Schwachstellen, Empfindlichkeiten, Chancen, Schwellenwerte, Strategie/Capex/Risikoentscheidungen und Änderungen.]</w:t>
      </w:r>
    </w:p>
    <w:p>
      <w:pPr>
        <w:pStyle w:val="Heading2"/>
      </w:pPr>
      <w:r>
        <w:t>5.4 Anpassungsfähigkeit</w:t>
      </w:r>
    </w:p>
    <w:p>
      <w:pPr>
        <w:spacing w:before="0" w:after="80" w:line="269" w:lineRule="auto"/>
      </w:pPr>
      <w:r>
        <w:rPr>
          <w:rFonts w:ascii="Lato" w:hAnsi="Lato" w:eastAsia="Lato"/>
          <w:i w:val="0"/>
          <w:color w:val="26384A"/>
          <w:sz w:val="19"/>
        </w:rPr>
        <w:t>[INSERT: strategische Optionen; Flexibilität der Vermögenswerte; finanzielle Kapazität; Finanzierung; Vorlaufzeiten; Abhängigkeiten; Entscheidungsträger; Restbelastung; Unsicherheit.]</w:t>
      </w:r>
    </w:p>
    <w:p>
      <w:pPr>
        <w:pStyle w:val="Heading2"/>
      </w:pPr>
      <w:r>
        <w:t>Beweise und Kontrollanweisungen</w:t>
      </w:r>
    </w:p>
    <w:p>
      <w:pPr>
        <w:pStyle w:val="ListBullet"/>
        <w:spacing w:before="0" w:after="60" w:line="259" w:lineRule="auto"/>
      </w:pPr>
      <w:r>
        <w:rPr>
          <w:rFonts w:ascii="Lato" w:hAnsi="Lato" w:eastAsia="Lato"/>
          <w:color w:val="26384A"/>
          <w:sz w:val="19"/>
        </w:rPr>
        <w:t>☐ Szenario Quelle und Version kontrolliert.</w:t>
      </w:r>
    </w:p>
    <w:p>
      <w:pPr>
        <w:pStyle w:val="ListBullet"/>
        <w:spacing w:before="0" w:after="60" w:line="259" w:lineRule="auto"/>
      </w:pPr>
      <w:r>
        <w:rPr>
          <w:rFonts w:ascii="Lato" w:hAnsi="Lato" w:eastAsia="Lato"/>
          <w:color w:val="26384A"/>
          <w:sz w:val="19"/>
        </w:rPr>
        <w:t>☐ Die Annahmen sind mit der Finanzierungsplanung vereinbar.</w:t>
      </w:r>
    </w:p>
    <w:p>
      <w:pPr>
        <w:pStyle w:val="ListBullet"/>
        <w:spacing w:before="0" w:after="60" w:line="259" w:lineRule="auto"/>
      </w:pPr>
      <w:r>
        <w:rPr>
          <w:rFonts w:ascii="Lato" w:hAnsi="Lato" w:eastAsia="Lato"/>
          <w:color w:val="26384A"/>
          <w:sz w:val="19"/>
        </w:rPr>
        <w:t>☐ Die Herausforderung der Governance wurde aufgezeichnet.</w:t>
      </w:r>
    </w:p>
    <w:p>
      <w:pPr>
        <w:pStyle w:val="ListBullet"/>
        <w:spacing w:before="0" w:after="60" w:line="259" w:lineRule="auto"/>
      </w:pPr>
      <w:r>
        <w:rPr>
          <w:rFonts w:ascii="Lato" w:hAnsi="Lato" w:eastAsia="Lato"/>
          <w:color w:val="26384A"/>
          <w:sz w:val="19"/>
        </w:rPr>
        <w:t>☐ Die Verkündung von Widerstandsfähigkeit vermeidet ununterstützte Gewissheit.</w:t>
      </w:r>
    </w:p>
    <w:p>
      <w:pPr>
        <w:pStyle w:val="Heading1"/>
      </w:pPr>
      <w:r>
        <w:t>6- aktuelle und erwartete finanzielle Auswirkungen</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pPr>
            <w:r>
              <w:rPr>
                <w:rFonts w:ascii="Lato" w:hAnsi="Lato" w:eastAsia="Lato"/>
                <w:b/>
                <w:color w:val="173F65"/>
                <w:sz w:val="17"/>
              </w:rPr>
              <w:t>PURPOSE</w:t>
            </w:r>
          </w:p>
          <w:p>
            <w:pPr>
              <w:spacing w:before="0" w:after="0" w:line="259" w:lineRule="auto"/>
            </w:pPr>
            <w:r>
              <w:rPr>
                <w:rFonts w:ascii="Lato" w:hAnsi="Lato" w:eastAsia="Lato"/>
                <w:b w:val="0"/>
                <w:color w:val="173F65"/>
                <w:sz w:val="18"/>
              </w:rPr>
              <w:t>Verknüpfen Sie jede wesentliche Klimaschwertigkeit mit aktuellen und voraussichtlichen Auswirkungen auf die finanzielle Lage, die Leistung und die Cashflows.</w:t>
            </w:r>
          </w:p>
        </w:tc>
      </w:tr>
    </w:tbl>
    <w:p>
      <w:pPr>
        <w:spacing w:after="0"/>
      </w:pPr>
    </w:p>
    <w:p>
      <w:pPr>
        <w:pStyle w:val="Heading2"/>
      </w:pPr>
      <w:r>
        <w:t>6.1 Finanzwügel</w:t>
      </w:r>
    </w:p>
    <w:p>
      <w:pPr>
        <w:spacing w:before="0" w:after="80" w:line="269" w:lineRule="auto"/>
      </w:pPr>
      <w:r>
        <w:rPr>
          <w:rFonts w:ascii="Lato" w:hAnsi="Lato" w:eastAsia="Lato"/>
          <w:i w:val="0"/>
          <w:color w:val="26384A"/>
          <w:sz w:val="19"/>
        </w:rPr>
        <w:t>[INSERTTABEL: Klima-Materie; laufende/vorhergesehene Daten; Einnahmen; Kosten; Vermögenswerte; Verbindlichkeiten; Cashflows; Finanzierung; Kappex; Zeithorizont; Betrag/Range/Qualität; Annahmen; betroffene Finanzierungslinienpositionen.]</w:t>
      </w:r>
    </w:p>
    <w:p>
      <w:pPr>
        <w:pStyle w:val="Heading2"/>
      </w:pPr>
      <w:r>
        <w:t>6.2 Quantitative Behandlung</w:t>
      </w:r>
    </w:p>
    <w:p>
      <w:pPr>
        <w:spacing w:before="0" w:after="80" w:line="269" w:lineRule="auto"/>
      </w:pPr>
      <w:r>
        <w:rPr>
          <w:rFonts w:ascii="Lato" w:hAnsi="Lato" w:eastAsia="Lato"/>
          <w:i w:val="0"/>
          <w:color w:val="26384A"/>
          <w:sz w:val="19"/>
        </w:rPr>
        <w:t>[INSERT: Einzelsätze, Bereiche oder Prozentsätze; Nennungsdefinitionen; kombinierte Informationen; Doppelzählkontrollen.]</w:t>
      </w:r>
    </w:p>
    <w:p>
      <w:pPr>
        <w:pStyle w:val="Heading2"/>
      </w:pPr>
      <w:r>
        <w:t>6.3 Qualitative Behandlung oder Erleichterung</w:t>
      </w:r>
    </w:p>
    <w:p>
      <w:pPr>
        <w:spacing w:before="0" w:after="80" w:line="269" w:lineRule="auto"/>
      </w:pPr>
      <w:r>
        <w:rPr>
          <w:rFonts w:ascii="Lato" w:hAnsi="Lato" w:eastAsia="Lato"/>
          <w:i w:val="0"/>
          <w:color w:val="26384A"/>
          <w:sz w:val="19"/>
        </w:rPr>
        <w:t>[INSERT: Warum eine getrennte Quantifizierung unter den angegebenen Bedingungen nicht nützlich ist; betroffene Zeilen; qualitative und kombinierte Informationen ersetzen.]</w:t>
      </w:r>
    </w:p>
    <w:p>
      <w:pPr>
        <w:pStyle w:val="Heading2"/>
      </w:pPr>
      <w:r>
        <w:t>6.4 Konsistenz und Unsicherheit</w:t>
      </w:r>
    </w:p>
    <w:p>
      <w:pPr>
        <w:spacing w:before="0" w:after="80" w:line="269" w:lineRule="auto"/>
      </w:pPr>
      <w:r>
        <w:rPr>
          <w:rFonts w:ascii="Lato" w:hAnsi="Lato" w:eastAsia="Lato"/>
          <w:i w:val="0"/>
          <w:color w:val="26384A"/>
          <w:sz w:val="19"/>
        </w:rPr>
        <w:t>[INSERT: Vereinbarkeit mit den Jahresabschlüssen, Budgets, Prognosen und Szenarien; Unterschiede in der Messbasis; Empfindlichkeit; Unsicherheit und Einschränkungen.]</w:t>
      </w:r>
    </w:p>
    <w:p>
      <w:pPr>
        <w:pStyle w:val="Heading2"/>
      </w:pPr>
      <w:r>
        <w:t>Beweise und Kontrollanweisungen</w:t>
      </w:r>
    </w:p>
    <w:p>
      <w:pPr>
        <w:pStyle w:val="ListBullet"/>
        <w:spacing w:before="0" w:after="60" w:line="259" w:lineRule="auto"/>
      </w:pPr>
      <w:r>
        <w:rPr>
          <w:rFonts w:ascii="Lato" w:hAnsi="Lato" w:eastAsia="Lato"/>
          <w:color w:val="26384A"/>
          <w:sz w:val="19"/>
        </w:rPr>
        <w:t>☐ Die Herausforderung des CFO ist abgeschlossen.</w:t>
      </w:r>
    </w:p>
    <w:p>
      <w:pPr>
        <w:pStyle w:val="ListBullet"/>
        <w:spacing w:before="0" w:after="60" w:line="259" w:lineRule="auto"/>
      </w:pPr>
      <w:r>
        <w:rPr>
          <w:rFonts w:ascii="Lato" w:hAnsi="Lato" w:eastAsia="Lato"/>
          <w:color w:val="26384A"/>
          <w:sz w:val="19"/>
        </w:rPr>
        <w:t>☐ Die Kartierung der Liniepunkte ist erhalten.</w:t>
      </w:r>
    </w:p>
    <w:p>
      <w:pPr>
        <w:pStyle w:val="ListBullet"/>
        <w:spacing w:before="0" w:after="60" w:line="259" w:lineRule="auto"/>
      </w:pPr>
      <w:r>
        <w:rPr>
          <w:rFonts w:ascii="Lato" w:hAnsi="Lato" w:eastAsia="Lato"/>
          <w:color w:val="26384A"/>
          <w:sz w:val="19"/>
        </w:rPr>
        <w:t>☐ Die Menge/Range ist reproduzierbar.</w:t>
      </w:r>
    </w:p>
    <w:p>
      <w:pPr>
        <w:pStyle w:val="ListBullet"/>
        <w:spacing w:before="0" w:after="60" w:line="259" w:lineRule="auto"/>
      </w:pPr>
      <w:r>
        <w:rPr>
          <w:rFonts w:ascii="Lato" w:hAnsi="Lato" w:eastAsia="Lato"/>
          <w:color w:val="26384A"/>
          <w:sz w:val="19"/>
        </w:rPr>
        <w:t>☐ Eine qualitative Behandlung, die nach den genauen Kriterien zugelassen ist.</w:t>
      </w:r>
    </w:p>
    <w:p>
      <w:pPr>
        <w:pStyle w:val="Heading1"/>
      </w:pPr>
      <w:r>
        <w:t>7Risikomanagement</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pPr>
            <w:r>
              <w:rPr>
                <w:rFonts w:ascii="Lato" w:hAnsi="Lato" w:eastAsia="Lato"/>
                <w:b/>
                <w:color w:val="173F65"/>
                <w:sz w:val="17"/>
              </w:rPr>
              <w:t>PURPOSE</w:t>
            </w:r>
          </w:p>
          <w:p>
            <w:pPr>
              <w:spacing w:before="0" w:after="0" w:line="259" w:lineRule="auto"/>
            </w:pPr>
            <w:r>
              <w:rPr>
                <w:rFonts w:ascii="Lato" w:hAnsi="Lato" w:eastAsia="Lato"/>
                <w:b w:val="0"/>
                <w:color w:val="173F65"/>
                <w:sz w:val="18"/>
              </w:rPr>
              <w:t>Beschreiben Sie klimaspezifische Prozesse und Hinweise auf die Integration in das Gesamtrisikomanagement.</w:t>
            </w:r>
          </w:p>
        </w:tc>
      </w:tr>
    </w:tbl>
    <w:p>
      <w:pPr>
        <w:spacing w:after="0"/>
      </w:pPr>
    </w:p>
    <w:p>
      <w:pPr>
        <w:pStyle w:val="Heading2"/>
      </w:pPr>
      <w:r>
        <w:t>7.1 Identifizierung und Bewertung</w:t>
      </w:r>
    </w:p>
    <w:p>
      <w:pPr>
        <w:spacing w:before="0" w:after="80" w:line="269" w:lineRule="auto"/>
      </w:pPr>
      <w:r>
        <w:rPr>
          <w:rFonts w:ascii="Lato" w:hAnsi="Lato" w:eastAsia="Lato"/>
          <w:i w:val="0"/>
          <w:color w:val="26384A"/>
          <w:sz w:val="19"/>
        </w:rPr>
        <w:t>[INSERT: Prozess, Eingabe, Datenquellen, Szenario-Nutzung, Wahrscheinlichkeit/Großheit, Schwachstelle und Chancengeneinschätzung.]</w:t>
      </w:r>
    </w:p>
    <w:p>
      <w:pPr>
        <w:pStyle w:val="Heading2"/>
      </w:pPr>
      <w:r>
        <w:t>7.2 Priorisierung und Überwachung</w:t>
      </w:r>
    </w:p>
    <w:p>
      <w:pPr>
        <w:spacing w:before="0" w:after="80" w:line="269" w:lineRule="auto"/>
      </w:pPr>
      <w:r>
        <w:rPr>
          <w:rFonts w:ascii="Lato" w:hAnsi="Lato" w:eastAsia="Lato"/>
          <w:i w:val="0"/>
          <w:color w:val="26384A"/>
          <w:sz w:val="19"/>
        </w:rPr>
        <w:t>[INSERT: Schwellenwerte, Risikobereitschaft, Vergleich mit anderen Risiken, Eigentümer, Indikatoren, Auslöser und Eskalation.]</w:t>
      </w:r>
    </w:p>
    <w:p>
      <w:pPr>
        <w:pStyle w:val="Heading2"/>
      </w:pPr>
      <w:r>
        <w:t>7.3 Integration und Veränderungen des ERM</w:t>
      </w:r>
    </w:p>
    <w:p>
      <w:pPr>
        <w:spacing w:before="0" w:after="80" w:line="269" w:lineRule="auto"/>
      </w:pPr>
      <w:r>
        <w:rPr>
          <w:rFonts w:ascii="Lato" w:hAnsi="Lato" w:eastAsia="Lato"/>
          <w:i w:val="0"/>
          <w:color w:val="26384A"/>
          <w:sz w:val="19"/>
        </w:rPr>
        <w:t>[INSERT: gemeinsame Taxonomie/System; Ausschussflüsse; Entscheidungen; Änderungen gegenüber dem vorherigen Zeitraum; Unterschiede zwischen Risikoprozessen und Chancenprozessen.]</w:t>
      </w:r>
    </w:p>
    <w:p>
      <w:pPr>
        <w:pStyle w:val="Heading2"/>
      </w:pPr>
      <w:r>
        <w:t>Beweise und Kontrollanweisungen</w:t>
      </w:r>
    </w:p>
    <w:p>
      <w:pPr>
        <w:pStyle w:val="ListBullet"/>
        <w:spacing w:before="0" w:after="60" w:line="259" w:lineRule="auto"/>
      </w:pPr>
      <w:r>
        <w:rPr>
          <w:rFonts w:ascii="Lato" w:hAnsi="Lato" w:eastAsia="Lato"/>
          <w:color w:val="26384A"/>
          <w:sz w:val="19"/>
        </w:rPr>
        <w:t>☐ ERM-Systemregister unterstützen die Erzählung.</w:t>
      </w:r>
    </w:p>
    <w:p>
      <w:pPr>
        <w:pStyle w:val="ListBullet"/>
        <w:spacing w:before="0" w:after="60" w:line="259" w:lineRule="auto"/>
      </w:pPr>
      <w:r>
        <w:rPr>
          <w:rFonts w:ascii="Lato" w:hAnsi="Lato" w:eastAsia="Lato"/>
          <w:color w:val="26384A"/>
          <w:sz w:val="19"/>
        </w:rPr>
        <w:t>☐ Die Priorität gegenüber anderen Risiken ist sichtbar.</w:t>
      </w:r>
    </w:p>
    <w:p>
      <w:pPr>
        <w:pStyle w:val="ListBullet"/>
        <w:spacing w:before="0" w:after="60" w:line="259" w:lineRule="auto"/>
      </w:pPr>
      <w:r>
        <w:rPr>
          <w:rFonts w:ascii="Lato" w:hAnsi="Lato" w:eastAsia="Lato"/>
          <w:color w:val="26384A"/>
          <w:sz w:val="19"/>
        </w:rPr>
        <w:t>☐ Der Prozess der Chancen ist kontrolliert.</w:t>
      </w:r>
    </w:p>
    <w:p>
      <w:pPr>
        <w:pStyle w:val="ListBullet"/>
        <w:spacing w:before="0" w:after="60" w:line="259" w:lineRule="auto"/>
      </w:pPr>
      <w:r>
        <w:rPr>
          <w:rFonts w:ascii="Lato" w:hAnsi="Lato" w:eastAsia="Lato"/>
          <w:color w:val="26384A"/>
          <w:sz w:val="19"/>
        </w:rPr>
        <w:t>☐ Die Veränderungen sind dokumentiert.</w:t>
      </w:r>
    </w:p>
    <w:p>
      <w:pPr>
        <w:pStyle w:val="Heading1"/>
      </w:pPr>
      <w:r>
        <w:t>8- Klimaschnittwerte und Ziele</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pPr>
            <w:r>
              <w:rPr>
                <w:rFonts w:ascii="Lato" w:hAnsi="Lato" w:eastAsia="Lato"/>
                <w:b/>
                <w:color w:val="173F65"/>
                <w:sz w:val="17"/>
              </w:rPr>
              <w:t>PURPOSE</w:t>
            </w:r>
          </w:p>
          <w:p>
            <w:pPr>
              <w:spacing w:before="0" w:after="0" w:line="259" w:lineRule="auto"/>
            </w:pPr>
            <w:r>
              <w:rPr>
                <w:rFonts w:ascii="Lato" w:hAnsi="Lato" w:eastAsia="Lato"/>
                <w:b w:val="0"/>
                <w:color w:val="173F65"/>
                <w:sz w:val="18"/>
              </w:rPr>
              <w:t>Präsentieren von branchenübergreifenden, branchenbasierten und unternehmensspezifischen Messwerte mit Methoden, Vergleichsmethoden und Zielleistung.</w:t>
            </w:r>
          </w:p>
        </w:tc>
      </w:tr>
    </w:tbl>
    <w:p>
      <w:pPr>
        <w:spacing w:after="0"/>
      </w:pPr>
    </w:p>
    <w:p>
      <w:pPr>
        <w:pStyle w:val="Heading2"/>
      </w:pPr>
      <w:r>
        <w:t>8.1 Metriktabelle</w:t>
      </w:r>
    </w:p>
    <w:p>
      <w:pPr>
        <w:spacing w:before="0" w:after="80" w:line="269" w:lineRule="auto"/>
      </w:pPr>
      <w:r>
        <w:rPr>
          <w:rFonts w:ascii="Lato" w:hAnsi="Lato" w:eastAsia="Lato"/>
          <w:i w:val="0"/>
          <w:color w:val="26384A"/>
          <w:sz w:val="19"/>
        </w:rPr>
        <w:t>[INSERT: GHG; Übergangsrisikogehalt; physikalisches Risiko; Chancen; Kapitalverwendung; interne CO2-Preise; Vergütung; branchenbasierte Messwerte; unternehmensspezifische Messwerte.]</w:t>
      </w:r>
    </w:p>
    <w:p>
      <w:pPr>
        <w:pStyle w:val="Heading2"/>
      </w:pPr>
      <w:r>
        <w:t>8.2 Methoden und Schätzungen</w:t>
      </w:r>
    </w:p>
    <w:p>
      <w:pPr>
        <w:spacing w:before="0" w:after="80" w:line="269" w:lineRule="auto"/>
      </w:pPr>
      <w:r>
        <w:rPr>
          <w:rFonts w:ascii="Lato" w:hAnsi="Lato" w:eastAsia="Lato"/>
          <w:i w:val="0"/>
          <w:color w:val="26384A"/>
          <w:sz w:val="19"/>
        </w:rPr>
        <w:t>[INSERT: Definition, Einheit, Formel, Grenze, Zeitraum, Quelle, Annahmen, Schätzungen, Einschränkungen, Änderungen und Vergleich.]</w:t>
      </w:r>
    </w:p>
    <w:p>
      <w:pPr>
        <w:pStyle w:val="Heading2"/>
      </w:pPr>
      <w:r>
        <w:t>8.3 Brancheninformationen</w:t>
      </w:r>
    </w:p>
    <w:p>
      <w:pPr>
        <w:spacing w:before="0" w:after="80" w:line="269" w:lineRule="auto"/>
      </w:pPr>
      <w:r>
        <w:rPr>
          <w:rFonts w:ascii="Lato" w:hAnsi="Lato" w:eastAsia="Lato"/>
          <w:i w:val="0"/>
          <w:color w:val="26384A"/>
          <w:sz w:val="19"/>
        </w:rPr>
        <w:t>[INSERT: identifizierte Branchen; betrachtete und verwendete Quellen; ausgewählte/anpassende/entwickelte Kennzahlen durch die Einrichtung; Grund für die Nichtverwendung.]</w:t>
      </w:r>
    </w:p>
    <w:p>
      <w:pPr>
        <w:pStyle w:val="Heading2"/>
      </w:pPr>
      <w:r>
        <w:t>8.4 Ziele und Leistung</w:t>
      </w:r>
    </w:p>
    <w:p>
      <w:pPr>
        <w:spacing w:before="0" w:after="80" w:line="269" w:lineRule="auto"/>
      </w:pPr>
      <w:r>
        <w:rPr>
          <w:rFonts w:ascii="Lato" w:hAnsi="Lato" w:eastAsia="Lato"/>
          <w:i w:val="0"/>
          <w:color w:val="26384A"/>
          <w:sz w:val="19"/>
        </w:rPr>
        <w:t>[INSERT: Rechtsstatus/freiwilliges Status; Ziel; Metrik; Umfang; Basiszeit; Zielferiode; Meilensteine; absolute/Intensivkeit; Brutto/Netto; Validierung; Revisionen; tatsächliche Leistung; verpasste Meilensteine und Antwort.]</w:t>
      </w:r>
    </w:p>
    <w:p>
      <w:pPr>
        <w:pStyle w:val="Heading2"/>
      </w:pPr>
      <w:r>
        <w:t>Beweise und Kontrollanweisungen</w:t>
      </w:r>
    </w:p>
    <w:p>
      <w:pPr>
        <w:pStyle w:val="ListBullet"/>
        <w:spacing w:before="0" w:after="60" w:line="259" w:lineRule="auto"/>
      </w:pPr>
      <w:r>
        <w:rPr>
          <w:rFonts w:ascii="Lato" w:hAnsi="Lato" w:eastAsia="Lato"/>
          <w:color w:val="26384A"/>
          <w:sz w:val="19"/>
        </w:rPr>
        <w:t>☐ Datenwörterbuch genehmigt.</w:t>
      </w:r>
    </w:p>
    <w:p>
      <w:pPr>
        <w:pStyle w:val="ListBullet"/>
        <w:spacing w:before="0" w:after="60" w:line="259" w:lineRule="auto"/>
      </w:pPr>
      <w:r>
        <w:rPr>
          <w:rFonts w:ascii="Lato" w:hAnsi="Lato" w:eastAsia="Lato"/>
          <w:color w:val="26384A"/>
          <w:sz w:val="19"/>
        </w:rPr>
        <w:t>☐ Ausgang/Branche-Erklärung vollständig.</w:t>
      </w:r>
    </w:p>
    <w:p>
      <w:pPr>
        <w:pStyle w:val="ListBullet"/>
        <w:spacing w:before="0" w:after="60" w:line="259" w:lineRule="auto"/>
      </w:pPr>
      <w:r>
        <w:rPr>
          <w:rFonts w:ascii="Lato" w:hAnsi="Lato" w:eastAsia="Lato"/>
          <w:color w:val="26384A"/>
          <w:sz w:val="19"/>
        </w:rPr>
        <w:t>☐ Zielgrenzen vereinbarten sich.</w:t>
      </w:r>
    </w:p>
    <w:p>
      <w:pPr>
        <w:pStyle w:val="ListBullet"/>
        <w:spacing w:before="0" w:after="60" w:line="259" w:lineRule="auto"/>
      </w:pPr>
      <w:r>
        <w:rPr>
          <w:rFonts w:ascii="Lato" w:hAnsi="Lato" w:eastAsia="Lato"/>
          <w:color w:val="26384A"/>
          <w:sz w:val="19"/>
        </w:rPr>
        <w:t>☐ Leistung und Revisionen unabhängig überprüft.</w:t>
      </w:r>
    </w:p>
    <w:p>
      <w:pPr>
        <w:pStyle w:val="Heading1"/>
      </w:pPr>
      <w:r>
        <w:t>9. GHG Emissionen und finanzierte Emissionen</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pPr>
            <w:r>
              <w:rPr>
                <w:rFonts w:ascii="Lato" w:hAnsi="Lato" w:eastAsia="Lato"/>
                <w:b/>
                <w:color w:val="173F65"/>
                <w:sz w:val="17"/>
              </w:rPr>
              <w:t>PURPOSE</w:t>
            </w:r>
          </w:p>
          <w:p>
            <w:pPr>
              <w:spacing w:before="0" w:after="0" w:line="259" w:lineRule="auto"/>
            </w:pPr>
            <w:r>
              <w:rPr>
                <w:rFonts w:ascii="Lato" w:hAnsi="Lato" w:eastAsia="Lato"/>
                <w:b w:val="0"/>
                <w:color w:val="173F65"/>
                <w:sz w:val="18"/>
              </w:rPr>
              <w:t>Eine transparente Bruttoinventar und die anwendbaren Informationen über finanzierte Emissionen ohne Netto-Kreditvergabe zu liefern.</w:t>
            </w:r>
          </w:p>
        </w:tc>
      </w:tr>
    </w:tbl>
    <w:p>
      <w:pPr>
        <w:spacing w:after="0"/>
      </w:pPr>
    </w:p>
    <w:p>
      <w:pPr>
        <w:pStyle w:val="Heading2"/>
      </w:pPr>
      <w:r>
        <w:t>9.1 GHG Tisch</w:t>
      </w:r>
    </w:p>
    <w:p>
      <w:pPr>
        <w:spacing w:before="0" w:after="80" w:line="269" w:lineRule="auto"/>
      </w:pPr>
      <w:r>
        <w:rPr>
          <w:rFonts w:ascii="Lato" w:hAnsi="Lato" w:eastAsia="Lato"/>
          <w:i w:val="0"/>
          <w:color w:val="26384A"/>
          <w:sz w:val="19"/>
        </w:rPr>
        <w:t>[INSERT: absoluter Bruttobereich] 1, Umfang 2 Standortbasiert und Umfang 3Tonnen; CO2e; konsolidierte Gruppe/andere Aufgliederung der Beteiligten; Vergleichswerte.]</w:t>
      </w:r>
    </w:p>
    <w:p>
      <w:pPr>
        <w:pStyle w:val="Heading2"/>
      </w:pPr>
      <w:r>
        <w:t>9.2 Organisationsgrenze und Methode</w:t>
      </w:r>
    </w:p>
    <w:p>
      <w:pPr>
        <w:spacing w:before="0" w:after="80" w:line="269" w:lineRule="auto"/>
      </w:pPr>
      <w:r>
        <w:rPr>
          <w:rFonts w:ascii="Lato" w:hAnsi="Lato" w:eastAsia="Lato"/>
          <w:i w:val="0"/>
          <w:color w:val="26384A"/>
          <w:sz w:val="19"/>
        </w:rPr>
        <w:t>[INSERT: Konsolidierungsmethode; Behandlung von Tochtergesellschaften, assoziierten Unternehmen, Gemeinsamen Völkerunternehmen, Mietverträgen, Übernahmen/Veräußerungen; Gerichtsbarkeitsmethode; GHG Protokollnutzung.]</w:t>
      </w:r>
    </w:p>
    <w:p>
      <w:pPr>
        <w:pStyle w:val="Heading2"/>
      </w:pPr>
      <w:r>
        <w:t>9.3 Umfang 2</w:t>
      </w:r>
    </w:p>
    <w:p>
      <w:pPr>
        <w:spacing w:before="0" w:after="80" w:line="269" w:lineRule="auto"/>
      </w:pPr>
      <w:r>
        <w:rPr>
          <w:rFonts w:ascii="Lato" w:hAnsi="Lato" w:eastAsia="Lato"/>
          <w:i w:val="0"/>
          <w:color w:val="26384A"/>
          <w:sz w:val="19"/>
        </w:rPr>
        <w:t>[INSERT: Standortbasierte Betrag; Vertragsinstrumenten; Verträge/Zertifikate über erneuerbare Güter und Nachweise.]</w:t>
      </w:r>
    </w:p>
    <w:p>
      <w:pPr>
        <w:pStyle w:val="Heading2"/>
      </w:pPr>
      <w:r>
        <w:t>9.4 Umfang 3</w:t>
      </w:r>
    </w:p>
    <w:p>
      <w:pPr>
        <w:spacing w:before="0" w:after="80" w:line="269" w:lineRule="auto"/>
      </w:pPr>
      <w:r>
        <w:rPr>
          <w:rFonts w:ascii="Lato" w:hAnsi="Lato" w:eastAsia="Lato"/>
          <w:i w:val="0"/>
          <w:color w:val="26384A"/>
          <w:sz w:val="19"/>
        </w:rPr>
        <w:t>[INSERT: alle 15 die eingehenden Kategorien; relevante Kategorien; Methode; Input-Daten; Primär-/Sekundärdaten; Schätzungen; Einschränkungen; Neubewertung und Verbesserungsplan.]</w:t>
      </w:r>
    </w:p>
    <w:p>
      <w:pPr>
        <w:pStyle w:val="Heading2"/>
      </w:pPr>
      <w:r>
        <w:t>9.5 Finanzierter Emissionen gegebenenfalls</w:t>
      </w:r>
    </w:p>
    <w:p>
      <w:pPr>
        <w:spacing w:before="0" w:after="80" w:line="269" w:lineRule="auto"/>
      </w:pPr>
      <w:r>
        <w:rPr>
          <w:rFonts w:ascii="Lato" w:hAnsi="Lato" w:eastAsia="Lato"/>
          <w:i w:val="0"/>
          <w:color w:val="26384A"/>
          <w:sz w:val="19"/>
        </w:rPr>
        <w:t>[INSERT: Vermögenswerte, Betrag, Nenner, Abdeckung, Ausschlüsse, Branchenklassifizierung, Methodik, Annahmen und B59A-Erläuterung, soweit verwendet.]</w:t>
      </w:r>
    </w:p>
    <w:p>
      <w:pPr>
        <w:pStyle w:val="Heading2"/>
      </w:pPr>
      <w:r>
        <w:t>9.6 Kohlenstoffkredite</w:t>
      </w:r>
    </w:p>
    <w:p>
      <w:pPr>
        <w:spacing w:before="0" w:after="80" w:line="269" w:lineRule="auto"/>
      </w:pPr>
      <w:r>
        <w:rPr>
          <w:rFonts w:ascii="Lato" w:hAnsi="Lato" w:eastAsia="Lato"/>
          <w:i w:val="0"/>
          <w:color w:val="26384A"/>
          <w:sz w:val="19"/>
        </w:rPr>
        <w:t>[INSERT: geplante Abhängigkeit von Nettozielen; Regelung, Art, Entfernung/Reduzierung, Qualitätsattribute, Überprüfung und Ruhestand.</w:t>
      </w:r>
    </w:p>
    <w:p>
      <w:pPr>
        <w:pStyle w:val="Heading2"/>
      </w:pPr>
      <w:r>
        <w:t>Beweise und Kontrollanweisungen</w:t>
      </w:r>
    </w:p>
    <w:p>
      <w:pPr>
        <w:pStyle w:val="ListBullet"/>
        <w:spacing w:before="0" w:after="60" w:line="259" w:lineRule="auto"/>
      </w:pPr>
      <w:r>
        <w:rPr>
          <w:rFonts w:ascii="Lato" w:hAnsi="Lato" w:eastAsia="Lato"/>
          <w:color w:val="26384A"/>
          <w:sz w:val="19"/>
        </w:rPr>
        <w:t>☐ GHG Die Grenze ist versöhnt.</w:t>
      </w:r>
    </w:p>
    <w:p>
      <w:pPr>
        <w:pStyle w:val="ListBullet"/>
        <w:spacing w:before="0" w:after="60" w:line="259" w:lineRule="auto"/>
      </w:pPr>
      <w:r>
        <w:rPr>
          <w:rFonts w:ascii="Lato" w:hAnsi="Lato" w:eastAsia="Lato"/>
          <w:color w:val="26384A"/>
          <w:sz w:val="19"/>
        </w:rPr>
        <w:t>☐ Faktoren und GWP-Versionen kontrolliert.</w:t>
      </w:r>
    </w:p>
    <w:p>
      <w:pPr>
        <w:pStyle w:val="ListBullet"/>
        <w:spacing w:before="0" w:after="60" w:line="259" w:lineRule="auto"/>
      </w:pPr>
      <w:r>
        <w:rPr>
          <w:rFonts w:ascii="Lato" w:hAnsi="Lato" w:eastAsia="Lato"/>
          <w:color w:val="26384A"/>
          <w:sz w:val="19"/>
        </w:rPr>
        <w:t>☐ Umfang 3 Vollständigkeitsüberprüfung abgeschlossen.</w:t>
      </w:r>
    </w:p>
    <w:p>
      <w:pPr>
        <w:pStyle w:val="ListBullet"/>
        <w:spacing w:before="0" w:after="60" w:line="259" w:lineRule="auto"/>
      </w:pPr>
      <w:r>
        <w:rPr>
          <w:rFonts w:ascii="Lato" w:hAnsi="Lato" w:eastAsia="Lato"/>
          <w:color w:val="26384A"/>
          <w:sz w:val="19"/>
        </w:rPr>
        <w:t>☐ Zeitplan für finanzierte Emissionen und B59A genehmigt.</w:t>
      </w:r>
    </w:p>
    <w:p>
      <w:pPr>
        <w:pStyle w:val="ListBullet"/>
        <w:spacing w:before="0" w:after="60" w:line="259" w:lineRule="auto"/>
      </w:pPr>
      <w:r>
        <w:rPr>
          <w:rFonts w:ascii="Lato" w:hAnsi="Lato" w:eastAsia="Lato"/>
          <w:color w:val="26384A"/>
          <w:sz w:val="19"/>
        </w:rPr>
        <w:t>☐ Bruttoinventar nicht vernetzt.</w:t>
      </w:r>
    </w:p>
    <w:p>
      <w:pPr>
        <w:pStyle w:val="Heading1"/>
      </w:pPr>
      <w:r>
        <w:t>10- Urteile, Schätzungen, Bestimmungen und Änderungen</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pPr>
            <w:r>
              <w:rPr>
                <w:rFonts w:ascii="Lato" w:hAnsi="Lato" w:eastAsia="Lato"/>
                <w:b/>
                <w:color w:val="173F65"/>
                <w:sz w:val="17"/>
              </w:rPr>
              <w:t>PURPOSE</w:t>
            </w:r>
          </w:p>
          <w:p>
            <w:pPr>
              <w:spacing w:before="0" w:after="0" w:line="259" w:lineRule="auto"/>
            </w:pPr>
            <w:r>
              <w:rPr>
                <w:rFonts w:ascii="Lato" w:hAnsi="Lato" w:eastAsia="Lato"/>
                <w:b w:val="0"/>
                <w:color w:val="173F65"/>
                <w:sz w:val="18"/>
              </w:rPr>
              <w:t>Wichtige technische Entscheidungen und Unsicherheiten sichtbar machen.</w:t>
            </w:r>
          </w:p>
        </w:tc>
      </w:tr>
    </w:tbl>
    <w:p>
      <w:pPr>
        <w:spacing w:after="0"/>
      </w:pPr>
    </w:p>
    <w:p>
      <w:pPr>
        <w:pStyle w:val="Heading2"/>
      </w:pPr>
      <w:r>
        <w:t>10.1 Wichtige Urteile</w:t>
      </w:r>
    </w:p>
    <w:p>
      <w:pPr>
        <w:spacing w:before="0" w:after="80" w:line="269" w:lineRule="auto"/>
      </w:pPr>
      <w:r>
        <w:rPr>
          <w:rFonts w:ascii="Lato" w:hAnsi="Lato" w:eastAsia="Lato"/>
          <w:i w:val="0"/>
          <w:color w:val="26384A"/>
          <w:sz w:val="19"/>
        </w:rPr>
        <w:t>[INSERT: Wesentlichkeit, Grenzen, Szenario-Methode, Branchenquellen, Behandlung der finanziellen Auswirkungen, Zielfolgenabschlüsse und Bereitstellungsentscheidungen.]</w:t>
      </w:r>
    </w:p>
    <w:p>
      <w:pPr>
        <w:pStyle w:val="Heading2"/>
      </w:pPr>
      <w:r>
        <w:t>10.2 Unsicherheit der Messung</w:t>
      </w:r>
    </w:p>
    <w:p>
      <w:pPr>
        <w:spacing w:before="0" w:after="80" w:line="269" w:lineRule="auto"/>
      </w:pPr>
      <w:r>
        <w:rPr>
          <w:rFonts w:ascii="Lato" w:hAnsi="Lato" w:eastAsia="Lato"/>
          <w:i w:val="0"/>
          <w:color w:val="26384A"/>
          <w:sz w:val="19"/>
        </w:rPr>
        <w:t>[INSERT: Materialschätzungen, Bereiche, Modellbeschränkungen, Empfindlichkeiten, Quellequalität und erwartete Verbesserung.]</w:t>
      </w:r>
    </w:p>
    <w:p>
      <w:pPr>
        <w:pStyle w:val="Heading2"/>
      </w:pPr>
      <w:r>
        <w:t>10.3 Änderungen und Fehler</w:t>
      </w:r>
    </w:p>
    <w:p>
      <w:pPr>
        <w:spacing w:before="0" w:after="80" w:line="269" w:lineRule="auto"/>
      </w:pPr>
      <w:r>
        <w:rPr>
          <w:rFonts w:ascii="Lato" w:hAnsi="Lato" w:eastAsia="Lato"/>
          <w:i w:val="0"/>
          <w:color w:val="26384A"/>
          <w:sz w:val="19"/>
        </w:rPr>
        <w:t>[INSERT: Methodik, Schätzung, Grenze, Faktor, Ziel, Vergleichsüberprüfung oder Fehler; Grund; Wirkung und Genehmigung.]</w:t>
      </w:r>
    </w:p>
    <w:p>
      <w:pPr>
        <w:pStyle w:val="Heading2"/>
      </w:pPr>
      <w:r>
        <w:t>10.4 UK Bestimmungen</w:t>
      </w:r>
    </w:p>
    <w:p>
      <w:pPr>
        <w:spacing w:before="0" w:after="80" w:line="269" w:lineRule="auto"/>
      </w:pPr>
      <w:r>
        <w:rPr>
          <w:rFonts w:ascii="Lato" w:hAnsi="Lato" w:eastAsia="Lato"/>
          <w:i w:val="0"/>
          <w:color w:val="26384A"/>
          <w:sz w:val="19"/>
        </w:rPr>
        <w:t>[INSERTTABEL: Bestimmung; Zustand; Zeitraum; betroffene Informationen; Ersatz-Offenlegung; Vergleichseffekt; Anspruchseffekt, Genehmigung.]</w:t>
      </w:r>
    </w:p>
    <w:p>
      <w:pPr>
        <w:pStyle w:val="Heading2"/>
      </w:pPr>
      <w:r>
        <w:t>Beweise und Kontrollanweisungen</w:t>
      </w:r>
    </w:p>
    <w:p>
      <w:pPr>
        <w:pStyle w:val="ListBullet"/>
        <w:spacing w:before="0" w:after="60" w:line="259" w:lineRule="auto"/>
      </w:pPr>
      <w:r>
        <w:rPr>
          <w:rFonts w:ascii="Lato" w:hAnsi="Lato" w:eastAsia="Lato"/>
          <w:color w:val="26384A"/>
          <w:sz w:val="19"/>
        </w:rPr>
        <w:t>☐ Die Urteil- und Schätzungsschriften sind miteinander vereinbar.</w:t>
      </w:r>
    </w:p>
    <w:p>
      <w:pPr>
        <w:pStyle w:val="ListBullet"/>
        <w:spacing w:before="0" w:after="60" w:line="259" w:lineRule="auto"/>
      </w:pPr>
      <w:r>
        <w:rPr>
          <w:rFonts w:ascii="Lato" w:hAnsi="Lato" w:eastAsia="Lato"/>
          <w:color w:val="26384A"/>
          <w:sz w:val="19"/>
        </w:rPr>
        <w:t>☐ Änderungen, die korrekt eingestuft wurden.</w:t>
      </w:r>
    </w:p>
    <w:p>
      <w:pPr>
        <w:pStyle w:val="ListBullet"/>
        <w:spacing w:before="0" w:after="60" w:line="259" w:lineRule="auto"/>
      </w:pPr>
      <w:r>
        <w:rPr>
          <w:rFonts w:ascii="Lato" w:hAnsi="Lato" w:eastAsia="Lato"/>
          <w:color w:val="26384A"/>
          <w:sz w:val="19"/>
        </w:rPr>
        <w:t>☐ Anwendungsbestimmungen neben der Konformitätserklärung.</w:t>
      </w:r>
    </w:p>
    <w:p>
      <w:pPr>
        <w:pStyle w:val="ListBullet"/>
        <w:spacing w:before="0" w:after="60" w:line="259" w:lineRule="auto"/>
      </w:pPr>
      <w:r>
        <w:rPr>
          <w:rFonts w:ascii="Lato" w:hAnsi="Lato" w:eastAsia="Lato"/>
          <w:color w:val="26384A"/>
          <w:sz w:val="19"/>
        </w:rPr>
        <w:t>☐ Fehlerkorrektur genehmigt.</w:t>
      </w:r>
    </w:p>
    <w:p>
      <w:pPr>
        <w:pStyle w:val="Heading1"/>
      </w:pPr>
      <w:r>
        <w:t>11- Offenlegungsindex und Querverweise</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pPr>
            <w:r>
              <w:rPr>
                <w:rFonts w:ascii="Lato" w:hAnsi="Lato" w:eastAsia="Lato"/>
                <w:b/>
                <w:color w:val="173F65"/>
                <w:sz w:val="17"/>
              </w:rPr>
              <w:t>PURPOSE</w:t>
            </w:r>
          </w:p>
          <w:p>
            <w:pPr>
              <w:spacing w:before="0" w:after="0" w:line="259" w:lineRule="auto"/>
            </w:pPr>
            <w:r>
              <w:rPr>
                <w:rFonts w:ascii="Lato" w:hAnsi="Lato" w:eastAsia="Lato"/>
                <w:b w:val="0"/>
                <w:color w:val="173F65"/>
                <w:sz w:val="18"/>
              </w:rPr>
              <w:t>Eine kontrollierte Karte von jedem Materialbedarf bis zu seinem Berichtsort und dem technischen Unterlagen zur Verfügung stellen.</w:t>
            </w:r>
          </w:p>
        </w:tc>
      </w:tr>
    </w:tbl>
    <w:p>
      <w:pPr>
        <w:spacing w:after="0"/>
      </w:pPr>
    </w:p>
    <w:p>
      <w:pPr>
        <w:pStyle w:val="Heading2"/>
      </w:pPr>
      <w:r>
        <w:t>11.1 Angabeindex</w:t>
      </w:r>
    </w:p>
    <w:p>
      <w:pPr>
        <w:spacing w:before="0" w:after="80" w:line="269" w:lineRule="auto"/>
      </w:pPr>
      <w:r>
        <w:rPr>
          <w:rFonts w:ascii="Lato" w:hAnsi="Lato" w:eastAsia="Lato"/>
          <w:i w:val="0"/>
          <w:color w:val="26384A"/>
          <w:sz w:val="19"/>
        </w:rPr>
        <w:t>[INSERT TABEL: Anforderungen-ID; UK Absatz; Status; Berichtsseite/Standort; Kreuzverweisung; Bereitstellung; Beweis-ID; Prüfer.]</w:t>
      </w:r>
    </w:p>
    <w:p>
      <w:pPr>
        <w:pStyle w:val="Heading2"/>
      </w:pPr>
      <w:r>
        <w:t>11.2 Verkreuzerreferenz-Freigabeprüfung</w:t>
      </w:r>
    </w:p>
    <w:p>
      <w:pPr>
        <w:spacing w:before="0" w:after="80" w:line="269" w:lineRule="auto"/>
      </w:pPr>
      <w:r>
        <w:rPr>
          <w:rFonts w:ascii="Lato" w:hAnsi="Lato" w:eastAsia="Lato"/>
          <w:i w:val="0"/>
          <w:color w:val="26384A"/>
          <w:sz w:val="19"/>
        </w:rPr>
        <w:t>[INSERT: genaues Dokument/Seite/URL; Freigabezeit; Zugangsbedingungen; Version; Archiveort; Verantwortliche.]</w:t>
      </w:r>
    </w:p>
    <w:p>
      <w:pPr>
        <w:pStyle w:val="Heading2"/>
      </w:pPr>
      <w:r>
        <w:t>11.3 Verwandte UK Erklärungen</w:t>
      </w:r>
    </w:p>
    <w:p>
      <w:pPr>
        <w:spacing w:before="0" w:after="80" w:line="269" w:lineRule="auto"/>
      </w:pPr>
      <w:r>
        <w:rPr>
          <w:rFonts w:ascii="Lato" w:hAnsi="Lato" w:eastAsia="Lato"/>
          <w:i w:val="0"/>
          <w:color w:val="26384A"/>
          <w:sz w:val="19"/>
        </w:rPr>
        <w:t>[INSERT: NFSIS, SECR und aktuelle FCA-Offenlegungen; Überschneidungs- und Vereinbarungsanmerkung.]</w:t>
      </w:r>
    </w:p>
    <w:p>
      <w:pPr>
        <w:pStyle w:val="Heading2"/>
      </w:pPr>
      <w:r>
        <w:t>Beweise und Kontrollanweisungen</w:t>
      </w:r>
    </w:p>
    <w:p>
      <w:pPr>
        <w:pStyle w:val="ListBullet"/>
        <w:spacing w:before="0" w:after="60" w:line="259" w:lineRule="auto"/>
      </w:pPr>
      <w:r>
        <w:rPr>
          <w:rFonts w:ascii="Lato" w:hAnsi="Lato" w:eastAsia="Lato"/>
          <w:color w:val="26384A"/>
          <w:sz w:val="19"/>
        </w:rPr>
        <w:t>☐ Keine gebrochenen oder generischen Referenzen.</w:t>
      </w:r>
    </w:p>
    <w:p>
      <w:pPr>
        <w:pStyle w:val="ListBullet"/>
        <w:spacing w:before="0" w:after="60" w:line="259" w:lineRule="auto"/>
      </w:pPr>
      <w:r>
        <w:rPr>
          <w:rFonts w:ascii="Lato" w:hAnsi="Lato" w:eastAsia="Lato"/>
          <w:color w:val="26384A"/>
          <w:sz w:val="19"/>
        </w:rPr>
        <w:t>☐ Referenzinformationen, die gleichzeitig veröffentlicht werden.</w:t>
      </w:r>
    </w:p>
    <w:p>
      <w:pPr>
        <w:pStyle w:val="ListBullet"/>
        <w:spacing w:before="0" w:after="60" w:line="259" w:lineRule="auto"/>
      </w:pPr>
      <w:r>
        <w:rPr>
          <w:rFonts w:ascii="Lato" w:hAnsi="Lato" w:eastAsia="Lato"/>
          <w:color w:val="26384A"/>
          <w:sz w:val="19"/>
        </w:rPr>
        <w:t>☐ Dynamische Quellen, die verschlossen oder archiviert wurden.</w:t>
      </w:r>
    </w:p>
    <w:p>
      <w:pPr>
        <w:pStyle w:val="ListBullet"/>
        <w:spacing w:before="0" w:after="60" w:line="259" w:lineRule="auto"/>
      </w:pPr>
      <w:r>
        <w:rPr>
          <w:rFonts w:ascii="Lato" w:hAnsi="Lato" w:eastAsia="Lato"/>
          <w:color w:val="26384A"/>
          <w:sz w:val="19"/>
        </w:rPr>
        <w:t>☐ Die Rahmenansprüche sind weiterhin unterschiedlich.</w:t>
      </w:r>
    </w:p>
    <w:p>
      <w:pPr>
        <w:pStyle w:val="Heading1"/>
      </w:pPr>
      <w:r>
        <w:t>Endgültige Genehmigungsbericht der Geschäftsleitung und des Vorstands</w:t>
      </w:r>
    </w:p>
    <w:tbl>
      <w:tblPr>
        <w:tblW w:type="auto" w:w="0"/>
        <w:jc w:val="center"/>
        <w:tblLook w:firstColumn="1" w:firstRow="1" w:lastColumn="0" w:lastRow="0" w:noHBand="0" w:noVBand="1" w:val="04A0"/>
        <w:tblLayout w:type="fixed"/>
      </w:tblPr>
      <w:tblGrid>
        <w:gridCol w:w="2509"/>
        <w:gridCol w:w="2509"/>
        <w:gridCol w:w="2509"/>
        <w:gridCol w:w="2509"/>
      </w:tblGrid>
      <w:tr>
        <w:trPr>
          <w:tblHeader w:val="true"/>
        </w:trPr>
        <w:tc>
          <w:tcPr>
            <w:tcW w:type="dxa" w:w="2381"/>
            <w:shd w:fill="173F65"/>
            <w:tcMar>
              <w:top w:w="90" w:type="dxa"/>
              <w:start w:w="80" w:type="dxa"/>
              <w:bottom w:w="90" w:type="dxa"/>
              <w:end w:w="80" w:type="dxa"/>
            </w:tcMar>
            <w:tcBorders>
              <w:top w:val="single" w:sz="4" w:color="C8D2DC"/>
              <w:left w:val="single" w:sz="4" w:color="C8D2DC"/>
              <w:bottom w:val="single" w:sz="4" w:color="C8D2DC"/>
              <w:right w:val="single" w:sz="4" w:color="C8D2DC"/>
            </w:tcBorders>
          </w:tcPr>
          <w:p>
            <w:pPr>
              <w:spacing w:before="0" w:after="0" w:line="240" w:lineRule="auto"/>
              <w:jc w:val="left"/>
            </w:pPr>
            <w:r>
              <w:rPr>
                <w:rFonts w:ascii="Lato" w:hAnsi="Lato" w:eastAsia="Lato"/>
                <w:b/>
                <w:color w:val="FFFFFF"/>
                <w:sz w:val="18"/>
              </w:rPr>
              <w:t>Tor</w:t>
            </w:r>
          </w:p>
        </w:tc>
        <w:tc>
          <w:tcPr>
            <w:tcW w:type="dxa" w:w="2381"/>
            <w:shd w:fill="173F65"/>
            <w:tcMar>
              <w:top w:w="90" w:type="dxa"/>
              <w:start w:w="80" w:type="dxa"/>
              <w:bottom w:w="90" w:type="dxa"/>
              <w:end w:w="80" w:type="dxa"/>
            </w:tcMar>
            <w:tcBorders>
              <w:top w:val="single" w:sz="4" w:color="C8D2DC"/>
              <w:left w:val="single" w:sz="4" w:color="C8D2DC"/>
              <w:bottom w:val="single" w:sz="4" w:color="C8D2DC"/>
              <w:right w:val="single" w:sz="4" w:color="C8D2DC"/>
            </w:tcBorders>
          </w:tcPr>
          <w:p>
            <w:pPr>
              <w:spacing w:before="0" w:after="0" w:line="240" w:lineRule="auto"/>
              <w:jc w:val="left"/>
            </w:pPr>
            <w:r>
              <w:rPr>
                <w:rFonts w:ascii="Lato" w:hAnsi="Lato" w:eastAsia="Lato"/>
                <w:b/>
                <w:color w:val="FFFFFF"/>
                <w:sz w:val="18"/>
              </w:rPr>
              <w:t>Name / Körper</w:t>
            </w:r>
          </w:p>
        </w:tc>
        <w:tc>
          <w:tcPr>
            <w:tcW w:type="dxa" w:w="2381"/>
            <w:shd w:fill="173F65"/>
            <w:tcMar>
              <w:top w:w="90" w:type="dxa"/>
              <w:start w:w="80" w:type="dxa"/>
              <w:bottom w:w="90" w:type="dxa"/>
              <w:end w:w="80" w:type="dxa"/>
            </w:tcMar>
            <w:tcBorders>
              <w:top w:val="single" w:sz="4" w:color="C8D2DC"/>
              <w:left w:val="single" w:sz="4" w:color="C8D2DC"/>
              <w:bottom w:val="single" w:sz="4" w:color="C8D2DC"/>
              <w:right w:val="single" w:sz="4" w:color="C8D2DC"/>
            </w:tcBorders>
          </w:tcPr>
          <w:p>
            <w:pPr>
              <w:spacing w:before="0" w:after="0" w:line="240" w:lineRule="auto"/>
              <w:jc w:val="left"/>
            </w:pPr>
            <w:r>
              <w:rPr>
                <w:rFonts w:ascii="Lato" w:hAnsi="Lato" w:eastAsia="Lato"/>
                <w:b/>
                <w:color w:val="FFFFFF"/>
                <w:sz w:val="18"/>
              </w:rPr>
              <w:t>Entscheidung / Datum</w:t>
            </w:r>
          </w:p>
        </w:tc>
        <w:tc>
          <w:tcPr>
            <w:tcW w:type="dxa" w:w="2665"/>
            <w:shd w:fill="173F65"/>
            <w:tcMar>
              <w:top w:w="90" w:type="dxa"/>
              <w:start w:w="80" w:type="dxa"/>
              <w:bottom w:w="90" w:type="dxa"/>
              <w:end w:w="80" w:type="dxa"/>
            </w:tcMar>
            <w:tcBorders>
              <w:top w:val="single" w:sz="4" w:color="C8D2DC"/>
              <w:left w:val="single" w:sz="4" w:color="C8D2DC"/>
              <w:bottom w:val="single" w:sz="4" w:color="C8D2DC"/>
              <w:right w:val="single" w:sz="4" w:color="C8D2DC"/>
            </w:tcBorders>
          </w:tcPr>
          <w:p>
            <w:pPr>
              <w:spacing w:before="0" w:after="0" w:line="240" w:lineRule="auto"/>
              <w:jc w:val="left"/>
            </w:pPr>
            <w:r>
              <w:rPr>
                <w:rFonts w:ascii="Lato" w:hAnsi="Lato" w:eastAsia="Lato"/>
                <w:b/>
                <w:color w:val="FFFFFF"/>
                <w:sz w:val="18"/>
              </w:rPr>
              <w:t>Offene Aktionen</w:t>
            </w:r>
          </w:p>
        </w:tc>
      </w:tr>
      <w:tr>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Bescheinigung des Dateneigentums</w:t>
            </w:r>
          </w:p>
        </w:tc>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665"/>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Technische Überprüfung</w:t>
            </w:r>
          </w:p>
        </w:tc>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665"/>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CFO/Finanzkonsequenz</w:t>
            </w:r>
          </w:p>
        </w:tc>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665"/>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Rechts- und Firmensekretär</w:t>
            </w:r>
          </w:p>
        </w:tc>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665"/>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Interne Prüfung / Bereitschaftsüberprüfung</w:t>
            </w:r>
          </w:p>
        </w:tc>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665"/>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Empfehlung des Prüfungsausschusses</w:t>
            </w:r>
          </w:p>
        </w:tc>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665"/>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Genehmigung des Verwaltungsrates</w:t>
            </w:r>
          </w:p>
        </w:tc>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665"/>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Zertifizierung der Freigabe</w:t>
            </w:r>
          </w:p>
        </w:tc>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665"/>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bl>
    <w:p>
      <w:pPr>
        <w:spacing w:after="0"/>
      </w:pPr>
    </w:p>
    <w:tbl>
      <w:tblPr>
        <w:tblW w:type="auto" w:w="0"/>
        <w:jc w:val="center"/>
        <w:tblLook w:firstColumn="1" w:firstRow="1" w:lastColumn="0" w:lastRow="0" w:noHBand="0" w:noVBand="1" w:val="04A0"/>
        <w:tblLayout w:type="fixed"/>
      </w:tblPr>
      <w:tblGrid>
        <w:gridCol w:w="10036"/>
      </w:tblGrid>
      <w:tr>
        <w:trPr>
          <w:cantSplit/>
        </w:trPr>
        <w:tc>
          <w:tcPr>
            <w:tcW w:type="dxa" w:w="10036"/>
            <w:shd w:fill="FFF2CC"/>
            <w:tcMar>
              <w:top w:w="120" w:type="dxa"/>
              <w:start w:w="150" w:type="dxa"/>
              <w:bottom w:w="120" w:type="dxa"/>
              <w:end w:w="150" w:type="dxa"/>
            </w:tcMar>
            <w:tcBorders>
              <w:left w:val="single" w:sz="18" w:color="7F6000"/>
            </w:tcBorders>
          </w:tcPr>
          <w:p>
            <w:pPr>
              <w:spacing w:before="0" w:after="60" w:line="240" w:lineRule="auto"/>
            </w:pPr>
            <w:r>
              <w:rPr>
                <w:rFonts w:ascii="Lato" w:hAnsi="Lato" w:eastAsia="Lato"/>
                <w:b/>
                <w:color w:val="7F6000"/>
                <w:sz w:val="17"/>
              </w:rPr>
              <w:t>FINAL LIMITATION</w:t>
            </w:r>
          </w:p>
          <w:p>
            <w:pPr>
              <w:spacing w:before="0" w:after="0" w:line="259" w:lineRule="auto"/>
            </w:pPr>
            <w:r>
              <w:rPr>
                <w:rFonts w:ascii="Lato" w:hAnsi="Lato" w:eastAsia="Lato"/>
                <w:b/>
                <w:color w:val="7F6000"/>
                <w:sz w:val="18"/>
              </w:rPr>
              <w:t>Die Ausarbeitungsanweisungen ersetzen die Abschlussbestimmungen nicht UK SRS-Standards, für die einzelnen Unternehmen relevante und anwendbarkeitsspezifische Entscheidungen, Rechtsberatung, interne Kontrollen oder unabhängige Sicherstellung.</w:t>
            </w:r>
          </w:p>
        </w:tc>
      </w:tr>
    </w:tbl>
    <w:p>
      <w:pPr>
        <w:spacing w:after="0"/>
      </w:pPr>
    </w:p>
    <w:sectPr w:rsidR="00FC693F" w:rsidRPr="0006063C" w:rsidSect="00034616">
      <w:headerReference w:type="default" r:id="rId9"/>
      <w:footerReference w:type="default" r:id="rId10"/>
      <w:pgSz w:w="11906" w:h="16838"/>
      <w:pgMar w:top="879" w:right="935" w:bottom="822" w:left="935" w:header="255" w:footer="25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tblLook w:firstColumn="1" w:firstRow="1" w:lastColumn="0" w:lastRow="0" w:noHBand="0" w:noVBand="1" w:val="04A0"/>
      <w:jc w:val="center"/>
      <w:tblLayout w:type="fixed"/>
    </w:tblPr>
    <w:tblGrid>
      <w:gridCol w:w="3345"/>
      <w:gridCol w:w="3345"/>
      <w:gridCol w:w="3345"/>
    </w:tblGrid>
    <w:tr>
      <w:tc>
        <w:tcPr>
          <w:tcW w:type="dxa" w:w="3628"/>
          <w:tcMar>
            <w:top w:w="15" w:type="dxa"/>
            <w:start w:w="0" w:type="dxa"/>
            <w:bottom w:w="0" w:type="dxa"/>
            <w:end w:w="0" w:type="dxa"/>
          </w:tcMar>
          <w:tcBorders>
            <w:top w:val="single" w:sz="6" w:color="C8D2DC"/>
          </w:tcBorders>
        </w:tcPr>
        <w:p>
          <w:pPr>
            <w:spacing w:before="0" w:after="0" w:line="240" w:lineRule="auto"/>
          </w:pPr>
          <w:r>
            <w:rPr>
              <w:rFonts w:ascii="Lato" w:hAnsi="Lato" w:eastAsia="Lato"/>
              <w:color w:val="667788"/>
              <w:sz w:val="15"/>
            </w:rPr>
            <w:t>UKSRS-S2-TPL-001  · Version 1.0</w:t>
          </w:r>
        </w:p>
      </w:tc>
      <w:tc>
        <w:tcPr>
          <w:tcW w:type="dxa" w:w="3685"/>
          <w:tcMar>
            <w:top w:w="15" w:type="dxa"/>
            <w:start w:w="0" w:type="dxa"/>
            <w:bottom w:w="0" w:type="dxa"/>
            <w:end w:w="0" w:type="dxa"/>
          </w:tcMar>
          <w:tcBorders>
            <w:top w:val="single" w:sz="6" w:color="C8D2DC"/>
          </w:tcBorders>
        </w:tcPr>
        <w:p>
          <w:pPr>
            <w:spacing w:before="0" w:after="0" w:line="240" w:lineRule="auto"/>
            <w:jc w:val="center"/>
          </w:pPr>
          <w:r>
            <w:rPr>
              <w:rFonts w:ascii="Lato" w:hAnsi="Lato" w:eastAsia="Lato"/>
              <w:color w:val="667788"/>
              <w:sz w:val="15"/>
            </w:rPr>
            <w:t>Technische Abschnitte: 3 August 2026</w:t>
          </w:r>
        </w:p>
      </w:tc>
      <w:tc>
        <w:tcPr>
          <w:tcW w:type="dxa" w:w="2721"/>
          <w:tcMar>
            <w:top w:w="15" w:type="dxa"/>
            <w:start w:w="0" w:type="dxa"/>
            <w:bottom w:w="0" w:type="dxa"/>
            <w:end w:w="0" w:type="dxa"/>
          </w:tcMar>
          <w:tcBorders>
            <w:top w:val="single" w:sz="6" w:color="C8D2DC"/>
          </w:tcBorders>
        </w:tcPr>
        <w:p>
          <w:pPr>
            <w:jc w:val="right"/>
          </w:pPr>
          <w:r>
            <w:rPr>
              <w:rFonts w:ascii="Lato" w:hAnsi="Lato" w:eastAsia="Lato"/>
              <w:color w:val="667788"/>
              <w:sz w:val="16"/>
            </w:rPr>
            <w:fldChar w:fldCharType="begin"/>
            <w:instrText xml:space="preserve"> PAGE </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ook w:firstColumn="1" w:firstRow="1" w:lastColumn="0" w:lastRow="0" w:noHBand="0" w:noVBand="1" w:val="04A0"/>
      <w:jc w:val="center"/>
      <w:tblLayout w:type="fixed"/>
    </w:tblPr>
    <w:tblGrid>
      <w:gridCol w:w="5017"/>
      <w:gridCol w:w="5017"/>
    </w:tblGrid>
    <w:tr>
      <w:tc>
        <w:tcPr>
          <w:tcW w:type="dxa" w:w="7257"/>
          <w:tcMar>
            <w:top w:w="20" w:type="dxa"/>
            <w:start w:w="0" w:type="dxa"/>
            <w:bottom w:w="20" w:type="dxa"/>
            <w:end w:w="0" w:type="dxa"/>
          </w:tcMar>
          <w:tcBorders>
            <w:bottom w:val="single" w:sz="8" w:color="2A6F97"/>
          </w:tcBorders>
        </w:tcPr>
        <w:p>
          <w:pPr>
            <w:spacing w:before="0" w:after="0" w:line="240" w:lineRule="auto"/>
            <w:jc w:val="left"/>
          </w:pPr>
          <w:r>
            <w:rPr>
              <w:rFonts w:ascii="Lato" w:hAnsi="Lato" w:eastAsia="Lato"/>
              <w:b/>
              <w:color w:val="667788"/>
              <w:sz w:val="16"/>
            </w:rPr>
            <w:t>LONDON REPORTING ACADEMY  ·  WISSENSZENTRUM</w:t>
          </w:r>
        </w:p>
      </w:tc>
      <w:tc>
        <w:tcPr>
          <w:tcW w:type="dxa" w:w="2778"/>
          <w:tcMar>
            <w:top w:w="20" w:type="dxa"/>
            <w:start w:w="0" w:type="dxa"/>
            <w:bottom w:w="20" w:type="dxa"/>
            <w:end w:w="0" w:type="dxa"/>
          </w:tcMar>
          <w:tcBorders>
            <w:bottom w:val="single" w:sz="8" w:color="2A6F97"/>
          </w:tcBorders>
        </w:tcPr>
        <w:p>
          <w:pPr>
            <w:spacing w:before="0" w:after="0" w:line="240" w:lineRule="auto"/>
            <w:jc w:val="right"/>
          </w:pPr>
          <w:r>
            <w:drawing>
              <wp:inline xmlns:a="http://schemas.openxmlformats.org/drawingml/2006/main" xmlns:pic="http://schemas.openxmlformats.org/drawingml/2006/picture">
                <wp:extent cx="1260000" cy="756000"/>
                <wp:docPr id="1" name="Picture 1" descr="London Reporting Academy logo" title="London Reporting Academy logo"/>
                <wp:cNvGraphicFramePr>
                  <a:graphicFrameLocks noChangeAspect="1"/>
                </wp:cNvGraphicFramePr>
                <a:graphic>
                  <a:graphicData uri="http://schemas.openxmlformats.org/drawingml/2006/picture">
                    <pic:pic>
                      <pic:nvPicPr>
                        <pic:cNvPr id="0" name="LRA_logo.png"/>
                        <pic:cNvPicPr/>
                      </pic:nvPicPr>
                      <pic:blipFill>
                        <a:blip r:embed="rId1"/>
                        <a:stretch>
                          <a:fillRect/>
                        </a:stretch>
                      </pic:blipFill>
                      <pic:spPr>
                        <a:xfrm>
                          <a:off x="0" y="0"/>
                          <a:ext cx="1260000" cy="756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Lato" w:hAnsi="Lato" w:eastAsia="Lato"/>
      <w:color w:val="26384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Lato" w:hAnsi="Lato" w:eastAsia="Lato"/>
      <w:b/>
      <w:bCs/>
      <w:color w:val="173F65"/>
      <w:sz w:val="4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Lato" w:hAnsi="Lato" w:eastAsia="Lato"/>
      <w:b/>
      <w:bCs/>
      <w:color w:val="2A6F97"/>
      <w:sz w:val="31"/>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Lato" w:hAnsi="Lato" w:eastAsia="Lato"/>
      <w:b/>
      <w:bCs/>
      <w:color w:val="173F65"/>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Lato" w:hAnsi="Lato" w:eastAsia="Lato"/>
      <w:b/>
      <w:color w:val="173F65"/>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pPr>
    <w:rPr>
      <w:rFonts w:asciiTheme="majorHAnsi" w:eastAsiaTheme="majorEastAsia" w:hAnsiTheme="majorHAnsi" w:cstheme="majorBidi" w:ascii="Lato" w:hAnsi="Lato" w:eastAsia="Lato"/>
      <w:b/>
      <w:i/>
      <w:iCs/>
      <w:color w:val="667788"/>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59" w:lineRule="auto"/>
      <w:contextualSpacing/>
    </w:pPr>
    <w:rPr>
      <w:rFonts w:ascii="Lato" w:hAnsi="Lato" w:eastAsia="Lato"/>
      <w:color w:val="26384A"/>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59" w:lineRule="auto"/>
      <w:contextualSpacing/>
    </w:pPr>
    <w:rPr>
      <w:rFonts w:ascii="Lato" w:hAnsi="Lato" w:eastAsia="Lato"/>
      <w:color w:val="26384A"/>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RASmall">
    <w:name w:val="LRA Small"/>
    <w:pPr>
      <w:spacing w:after="60" w:line="240" w:lineRule="auto"/>
    </w:pPr>
    <w:rPr>
      <w:rFonts w:ascii="Lato" w:hAnsi="Lato" w:eastAsia="Lato"/>
      <w:color w:val="667788"/>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UK SRS S2 Annual Report Disclosure Template</dc:title>
  <dc:subject>Editable structure and drafting prompts for basis of preparation, four pillars, scenarios, GHG, financial effects, judgements, provisions, cross-references and approval</dc:subject>
  <dc:creator>London Reporting Academy</dc:creator>
  <cp:keywords>UK SRS S2 report template, annual report, climate disclosure</cp:keywords>
  <dc:description>Prepared as a London Reporting Academy Knowledge Card Package.</dc:description>
  <cp:lastModifiedBy>London Reporting Academy</cp:lastModifiedBy>
  <cp:revision>1</cp:revision>
  <dcterms:created xsi:type="dcterms:W3CDTF">2013-12-23T23:15:00Z</dcterms:created>
  <dcterms:modified xsi:type="dcterms:W3CDTF">2013-12-23T23:15:00Z</dcterms:modified>
  <cp:category/>
</cp:coreProperties>
</file>