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069080" cy="674611"/>
            <wp:docPr id="1" name="Picture 1" descr="London Reporting Academy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69080" cy="6746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Arial" w:hAnsi="Arial" w:eastAsia="Arial"/>
          <w:b/>
          <w:color w:val="1F5E8C"/>
          <w:sz w:val="21"/>
        </w:rPr>
        <w:t>LRA WISSENSZENTRUM  ·  UK SRS S1</w:t>
      </w:r>
    </w:p>
    <w:p>
      <w:pPr>
        <w:pStyle w:val="Title"/>
        <w:keepNext/>
        <w:pBdr>
          <w:bottom w:val="single" w:sz="12" w:space="5" w:color="2F75B5"/>
        </w:pBdr>
      </w:pPr>
      <w:r>
        <w:t>UK SRS S1 Werkzeugpaket für den ersten Zyklus</w:t>
      </w:r>
    </w:p>
    <w:p>
      <w:pPr>
        <w:pStyle w:val="Subtitle"/>
      </w:pPr>
      <w:r>
        <w:t>Bearbeitbare Register und Genehmigungsmittel für die Berichtsgrundlage, die Durchführungsplanung, Absatz E3, Ansprüche, Wesentlichkeit, Risiko- und Chancenidentifizierung, Messwerte, finanzielle Auswirkungen und Vorstandsbestätigung.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04"/>
        <w:gridCol w:w="4904"/>
      </w:tblGrid>
      <w:tr>
        <w:tc>
          <w:tcPr>
            <w:tcW w:type="dxa" w:w="9808"/>
            <w:gridSpan w:val="2"/>
            <w:shd w:fill="173B6C"/>
          </w:tcPr>
          <w:p>
            <w:r/>
          </w:p>
        </w:tc>
      </w:tr>
      <w:tr>
        <w:tc>
          <w:tcPr>
            <w:tcW w:type="dxa" w:w="4904"/>
            <w:shd w:fill="EAF2F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b/>
                <w:color w:val="173B6C"/>
                <w:sz w:val="18"/>
              </w:rPr>
              <w:t>Sammel-Id</w:t>
            </w:r>
          </w:p>
        </w:tc>
        <w:tc>
          <w:tcPr>
            <w:tcW w:type="dxa" w:w="490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color w:val="1C2733"/>
                <w:sz w:val="18"/>
              </w:rPr>
              <w:t>UKSRS1-TOOL-006</w:t>
            </w:r>
          </w:p>
        </w:tc>
      </w:tr>
      <w:tr>
        <w:tc>
          <w:tcPr>
            <w:tcW w:type="dxa" w:w="4904"/>
            <w:shd w:fill="EAF2F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b/>
                <w:color w:val="173B6C"/>
                <w:sz w:val="18"/>
              </w:rPr>
              <w:t>Format</w:t>
            </w:r>
          </w:p>
        </w:tc>
        <w:tc>
          <w:tcPr>
            <w:tcW w:type="dxa" w:w="490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color w:val="1C2733"/>
                <w:sz w:val="18"/>
              </w:rPr>
              <w:t>Implementierungswerkzeugpaket</w:t>
            </w:r>
          </w:p>
        </w:tc>
      </w:tr>
      <w:tr>
        <w:tc>
          <w:tcPr>
            <w:tcW w:type="dxa" w:w="4904"/>
            <w:shd w:fill="EAF2F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b/>
                <w:color w:val="173B6C"/>
                <w:sz w:val="18"/>
              </w:rPr>
              <w:t>Hauptzuhörer</w:t>
            </w:r>
          </w:p>
        </w:tc>
        <w:tc>
          <w:tcPr>
            <w:tcW w:type="dxa" w:w="490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color w:val="1C2733"/>
                <w:sz w:val="18"/>
              </w:rPr>
              <w:t>Berichterstattung von Projektteams, Finanzen, Risiken, Unternehmenssekretariat, Rechts-, Internen Audit- und technischen Prüfern</w:t>
            </w:r>
          </w:p>
        </w:tc>
      </w:tr>
      <w:tr>
        <w:tc>
          <w:tcPr>
            <w:tcW w:type="dxa" w:w="4904"/>
            <w:shd w:fill="EAF2F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b/>
                <w:color w:val="173B6C"/>
                <w:sz w:val="18"/>
              </w:rPr>
              <w:t>Technischer Status</w:t>
            </w:r>
          </w:p>
        </w:tc>
        <w:tc>
          <w:tcPr>
            <w:tcW w:type="dxa" w:w="490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color w:val="1C2733"/>
                <w:sz w:val="18"/>
              </w:rPr>
              <w:t>Erstellt auf Grundlage der am 25. Februar 2026 veröffentlichten UK-SRS-Ausgaben; geprüft am 6. August 2026.</w:t>
            </w:r>
          </w:p>
        </w:tc>
      </w:tr>
    </w:tbl>
    <w:p/>
    <w:p>
      <w:r>
        <w:rPr>
          <w:rFonts w:ascii="Arial" w:hAnsi="Arial" w:eastAsia="Arial"/>
          <w:i/>
          <w:color w:val="66717F"/>
          <w:sz w:val="18"/>
        </w:rPr>
        <w:t>Schulungsmaterial für Praktikerinnen und Praktiker. Illustrative Beispiele und Formulierungen müssen angepasst und fachlich geprüft werden.</w:t>
      </w:r>
    </w:p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08"/>
      </w:tblGrid>
      <w:tr>
        <w:tc>
          <w:tcPr>
            <w:tcW w:type="dxa" w:w="9808"/>
            <w:shd w:fill="FFF4DD"/>
            <w:tcMar>
              <w:top w:w="120" w:type="dxa"/>
              <w:start w:w="150" w:type="dxa"/>
              <w:bottom w:w="120" w:type="dxa"/>
              <w:end w:w="150" w:type="dxa"/>
            </w:tcMar>
            <w:tcBorders>
              <w:top w:val="single" w:sz="4" w:color="B6C7D8"/>
              <w:bottom w:val="single" w:sz="4" w:color="B6C7D8"/>
              <w:right w:val="single" w:sz="4" w:color="B6C7D8"/>
              <w:left w:val="single" w:sz="18" w:color="B36B00"/>
            </w:tcBorders>
          </w:tcPr>
          <w:p>
            <w:r>
              <w:rPr>
                <w:rFonts w:ascii="Arial" w:hAnsi="Arial" w:eastAsia="Arial"/>
                <w:b/>
                <w:color w:val="B36B00"/>
                <w:sz w:val="20"/>
              </w:rPr>
              <w:t>Verwendungsanmerkung Diese Tabellen sind Arbeitsmittel, nicht vorgeschrieben UK SRS-Vorlagen. Fälle, Eigentümer und Genehmigungsniveaus an das Unternehmen anpassen. Die Ausfüllung einer Tabelle stellt nicht selbst die Einhaltung fest.</w:t>
              <w:br/>
            </w:r>
            <w:r>
              <w:rPr>
                <w:rFonts w:ascii="Arial" w:hAnsi="Arial" w:eastAsia="Arial"/>
                <w:color w:val="1C2733"/>
                <w:sz w:val="18"/>
              </w:rPr>
              <w:t/>
            </w:r>
          </w:p>
        </w:tc>
      </w:tr>
    </w:tbl>
    <w:p/>
    <w:p>
      <w:pPr>
        <w:pStyle w:val="Heading2"/>
        <w:keepNext/>
      </w:pPr>
      <w:r>
        <w:t>Werkzeug 1 - Berichtsgrundlage und Anspruchsentscheidung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69"/>
        <w:gridCol w:w="3269"/>
        <w:gridCol w:w="3269"/>
      </w:tblGrid>
      <w:tr>
        <w:trPr>
          <w:tblHeader w:val="true"/>
        </w:trPr>
        <w:tc>
          <w:tcPr>
            <w:tcW w:type="dxa" w:w="3269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6"/>
              </w:rPr>
              <w:t>Feld</w:t>
            </w:r>
          </w:p>
        </w:tc>
        <w:tc>
          <w:tcPr>
            <w:tcW w:type="dxa" w:w="3269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6"/>
              </w:rPr>
              <w:t>Entscheidung / Beschreibung</w:t>
            </w:r>
          </w:p>
        </w:tc>
        <w:tc>
          <w:tcPr>
            <w:tcW w:type="dxa" w:w="3269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6"/>
              </w:rPr>
              <w:t>Beweis / Eigentümer</w:t>
            </w:r>
          </w:p>
        </w:tc>
      </w:tr>
      <w:tr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Berichtspflichtige Stelle</w:t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Berichtszeitraum</w:t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Berichtsroute: freiwillig / Gesetz / Verordnung</w:t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Anwendbare Normen und Ausgaben</w:t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Standort und Zeitplan der Veröffentlichung des Berichts</w:t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Absatz E3 verwendet?</w:t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Abgesehen von UK SRS S1 Erklärung</w:t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Abgesehen von UK SRS S2 Erklärung</w:t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Andere Rahmenbedingungen oder Ansprüche</w:t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Erleichterungen, Ausnahmen und Einschränkungen</w:t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Genehmigungsorgan und Datum</w:t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Regulierungs-Aktualisierungs-Trigger</w:t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</w:tbl>
    <w:p/>
    <w:p>
      <w:pPr>
        <w:pStyle w:val="Heading2"/>
        <w:keepNext/>
      </w:pPr>
      <w:r>
        <w:t>Werkzeug 2 - 12-monatigen Durchführungsplan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52"/>
        <w:gridCol w:w="2452"/>
        <w:gridCol w:w="2452"/>
        <w:gridCol w:w="2452"/>
      </w:tblGrid>
      <w:tr>
        <w:trPr>
          <w:tblHeader w:val="true"/>
        </w:trPr>
        <w:tc>
          <w:tcPr>
            <w:tcW w:type="dxa" w:w="245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5"/>
              </w:rPr>
              <w:t>Monat / Phase</w:t>
            </w:r>
          </w:p>
        </w:tc>
        <w:tc>
          <w:tcPr>
            <w:tcW w:type="dxa" w:w="245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5"/>
              </w:rPr>
              <w:t>Arbeitsfluss und Aktion</w:t>
            </w:r>
          </w:p>
        </w:tc>
        <w:tc>
          <w:tcPr>
            <w:tcW w:type="dxa" w:w="245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5"/>
              </w:rPr>
              <w:t>Eigentümer</w:t>
            </w:r>
          </w:p>
        </w:tc>
        <w:tc>
          <w:tcPr>
            <w:tcW w:type="dxa" w:w="245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5"/>
              </w:rPr>
              <w:t>Ausgabe / Genehmigung</w:t>
            </w:r>
          </w:p>
        </w:tc>
      </w:tr>
      <w:tr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5"/>
              </w:rPr>
              <w:t>1 - Stiftung</w:t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  <w:t>Bestätigungsgrundlage, Umfang, Anspruch und Governance</w:t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5"/>
              </w:rPr>
              <w:t>2 - Stiftung</w:t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  <w:t>Karten-Geschäftsmodell, Wertschöpfungskette und Quellen</w:t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5"/>
              </w:rPr>
              <w:t>3 - Beurteilen Sie .</w:t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  <w:t>Identifizierung von Risiken und Chancen</w:t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5"/>
              </w:rPr>
              <w:t>4 - Beurteilen Sie .</w:t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  <w:t>Ausreichendkeit der Herausforderungen und Umfang der Wertschöpfungskette</w:t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5"/>
              </w:rPr>
              <w:t>5 - Beurteilen Sie .</w:t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  <w:t>Genehmigung von Entscheidungen über wesentliche Informationen</w:t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5"/>
              </w:rPr>
              <w:t>6 - Bauen Sie .</w:t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  <w:t>Entwicklung von vier Säulen und UK SRS S2 Arbeitspläne</w:t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5"/>
              </w:rPr>
              <w:t>7 - Bauen Sie .</w:t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  <w:t>Definition von Metriken, Zielen und Datenanfragen</w:t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5"/>
              </w:rPr>
              <w:t>8 - Bauen Sie .</w:t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  <w:t>Durchführung von Datenlinie, Beweismitteln und Kontrollen</w:t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5"/>
              </w:rPr>
              <w:t>9 - Bauen Sie .</w:t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  <w:t>Vollständige Analyse der finanziellen Auswirkungen</w:t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5"/>
              </w:rPr>
              <w:t>10 - Bericht .</w:t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  <w:t>Entwurf des verknüpften Berichts und Grundlage der Vorbereitung</w:t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5"/>
              </w:rPr>
              <w:t>11 - Bericht .</w:t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  <w:t>Durchführung von technischen, finanziellen, rechtlichen und Kontrollüberprüfungen</w:t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5"/>
              </w:rPr>
              <w:t>12 - Bericht .</w:t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  <w:t>Erhalt von Stellungnahmen, Genehmigung des Vorstands und Veröffentlichung</w:t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</w:tbl>
    <w:p/>
    <w:p>
      <w:pPr>
        <w:pStyle w:val="Heading2"/>
        <w:keepNext/>
      </w:pPr>
      <w:r>
        <w:t>Werkzeug 3 - Absatz E3 Jahresbeschlussbericht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69"/>
        <w:gridCol w:w="3269"/>
        <w:gridCol w:w="3269"/>
      </w:tblGrid>
      <w:tr>
        <w:trPr>
          <w:tblHeader w:val="true"/>
        </w:trPr>
        <w:tc>
          <w:tcPr>
            <w:tcW w:type="dxa" w:w="3269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6"/>
              </w:rPr>
              <w:t>Entscheidungsprozess</w:t>
            </w:r>
          </w:p>
        </w:tc>
        <w:tc>
          <w:tcPr>
            <w:tcW w:type="dxa" w:w="3269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6"/>
              </w:rPr>
              <w:t>Bewertung</w:t>
            </w:r>
          </w:p>
        </w:tc>
        <w:tc>
          <w:tcPr>
            <w:tcW w:type="dxa" w:w="3269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6"/>
              </w:rPr>
              <w:t>Beweise / Handlungen</w:t>
            </w:r>
          </w:p>
        </w:tc>
      </w:tr>
      <w:tr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Ist die Bewerbung freiwillig oder obligatorisch?</w:t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Ist E3 nach geltendem Recht oder Regelungen verfügbar?</w:t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Würde nur der Klimaschutz die Informationen, die für Investoren bereits wichtig sind, weglassen?</w:t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Kann das Unternehmen alle anwendbaren Anforderungen erfüllen? UK SRS S2 die Anforderungen?</w:t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Ist das Board bequem, dass nicht UK SRS S1 wird ein Konformitätsanspruch vorgelegt?</w:t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Welche Vergleichsbehandlung gilt unter E4?</w:t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Welche nicht klimatischen Prozesse können in diesem Jahr entwickelt werden?</w:t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Wann wird die Verwendung von E3 neu überdacht?</w:t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Genehmigte Abschluss und Datum</w:t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</w:tbl>
    <w:p/>
    <w:p>
      <w:pPr>
        <w:pStyle w:val="Heading2"/>
        <w:keepNext/>
      </w:pPr>
      <w:r>
        <w:t>Werkzeug 4 - Einhaltung und öffentliche Ansprüche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52"/>
        <w:gridCol w:w="2452"/>
        <w:gridCol w:w="2452"/>
        <w:gridCol w:w="2452"/>
      </w:tblGrid>
      <w:tr>
        <w:trPr>
          <w:tblHeader w:val="true"/>
        </w:trPr>
        <w:tc>
          <w:tcPr>
            <w:tcW w:type="dxa" w:w="245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5"/>
              </w:rPr>
              <w:t>Veröffentlichung / Kanal</w:t>
            </w:r>
          </w:p>
        </w:tc>
        <w:tc>
          <w:tcPr>
            <w:tcW w:type="dxa" w:w="245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5"/>
              </w:rPr>
              <w:t>Entwurf der Formulierung</w:t>
            </w:r>
          </w:p>
        </w:tc>
        <w:tc>
          <w:tcPr>
            <w:tcW w:type="dxa" w:w="245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5"/>
              </w:rPr>
              <w:t>Technische Grundlage</w:t>
            </w:r>
          </w:p>
        </w:tc>
        <w:tc>
          <w:tcPr>
            <w:tcW w:type="dxa" w:w="245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5"/>
              </w:rPr>
              <w:t>Kritiker / Status</w:t>
            </w:r>
          </w:p>
        </w:tc>
      </w:tr>
      <w:tr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5"/>
              </w:rPr>
              <w:t>Grundlage der Vorbereitung</w:t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5"/>
              </w:rPr>
              <w:t>Standardsindex</w:t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5"/>
              </w:rPr>
              <w:t>Direktor Genehmigungspapier</w:t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5"/>
              </w:rPr>
              <w:t>Versicherungsbericht</w:t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5"/>
              </w:rPr>
              <w:t>Höhepunkte des Jahresberichts</w:t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5"/>
              </w:rPr>
              <w:t>Webseiten- und SEO-Metadaten</w:t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5"/>
              </w:rPr>
              <w:t>Anlegerpräsentation</w:t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5"/>
              </w:rPr>
              <w:t>Pressemitteilung</w:t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5"/>
              </w:rPr>
              <w:t>Antworten auf Ausschreibungen / Fragebögen</w:t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5"/>
              </w:rPr>
              <w:t>KI-Assistent oder Chatbot Antwort</w:t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</w:tbl>
    <w:p/>
    <w:p>
      <w:pPr>
        <w:pStyle w:val="Heading2"/>
        <w:keepNext/>
      </w:pPr>
      <w:r>
        <w:t>Werkzeug 5 - Risiko- und Chancenregister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04"/>
        <w:gridCol w:w="4904"/>
      </w:tblGrid>
      <w:tr>
        <w:trPr>
          <w:tblHeader w:val="true"/>
        </w:trPr>
        <w:tc>
          <w:tcPr>
            <w:tcW w:type="dxa" w:w="4904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6"/>
              </w:rPr>
              <w:t>Feld</w:t>
            </w:r>
          </w:p>
        </w:tc>
        <w:tc>
          <w:tcPr>
            <w:tcW w:type="dxa" w:w="4904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6"/>
              </w:rPr>
              <w:t>Eintritt</w:t>
            </w:r>
          </w:p>
        </w:tc>
      </w:tr>
      <w:tr>
        <w:tc>
          <w:tcPr>
            <w:tcW w:type="dxa" w:w="4904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Aufzeichnungsnummer und spezifische Titel</w:t>
            </w:r>
          </w:p>
        </w:tc>
        <w:tc>
          <w:tcPr>
            <w:tcW w:type="dxa" w:w="4904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4904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Risiko / Chance / Beide</w:t>
            </w:r>
          </w:p>
        </w:tc>
        <w:tc>
          <w:tcPr>
            <w:tcW w:type="dxa" w:w="4904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4904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Geschäftsmodell oder Standort der Wertschöpfungskette</w:t>
            </w:r>
          </w:p>
        </w:tc>
        <w:tc>
          <w:tcPr>
            <w:tcW w:type="dxa" w:w="4904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4904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Abhängigkeit, Einfluss oder externer Fahrer</w:t>
            </w:r>
          </w:p>
        </w:tc>
        <w:tc>
          <w:tcPr>
            <w:tcW w:type="dxa" w:w="4904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4904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Finanzielle Übertragungswege</w:t>
            </w:r>
          </w:p>
        </w:tc>
        <w:tc>
          <w:tcPr>
            <w:tcW w:type="dxa" w:w="4904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4904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Kurzzeit / mittlere / langfristige Horizont</w:t>
            </w:r>
          </w:p>
        </w:tc>
        <w:tc>
          <w:tcPr>
            <w:tcW w:type="dxa" w:w="4904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4904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Begründete Erwartungen</w:t>
            </w:r>
          </w:p>
        </w:tc>
        <w:tc>
          <w:tcPr>
            <w:tcW w:type="dxa" w:w="4904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4904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Innerliche und externe Quellen</w:t>
            </w:r>
          </w:p>
        </w:tc>
        <w:tc>
          <w:tcPr>
            <w:tcW w:type="dxa" w:w="4904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4904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Breite, Proxy und Lücke der Wertschöpfungskette</w:t>
            </w:r>
          </w:p>
        </w:tc>
        <w:tc>
          <w:tcPr>
            <w:tcW w:type="dxa" w:w="4904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4904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Bestehende Kontrollen und strategische Reaktion</w:t>
            </w:r>
          </w:p>
        </w:tc>
        <w:tc>
          <w:tcPr>
            <w:tcW w:type="dxa" w:w="4904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4904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Materialstatus und verknüpfte Offenlegung</w:t>
            </w:r>
          </w:p>
        </w:tc>
        <w:tc>
          <w:tcPr>
            <w:tcW w:type="dxa" w:w="4904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4904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Eigentümer, Prüfer und Neubewertungsprozess</w:t>
            </w:r>
          </w:p>
        </w:tc>
        <w:tc>
          <w:tcPr>
            <w:tcW w:type="dxa" w:w="4904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</w:tbl>
    <w:p/>
    <w:p>
      <w:pPr>
        <w:pStyle w:val="Heading2"/>
        <w:keepNext/>
      </w:pPr>
      <w:r>
        <w:t>Werkzeug 6 - Investorenschwerheitsentscheidungsmatrix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69"/>
        <w:gridCol w:w="3269"/>
        <w:gridCol w:w="3269"/>
      </w:tblGrid>
      <w:tr>
        <w:trPr>
          <w:tblHeader w:val="true"/>
        </w:trPr>
        <w:tc>
          <w:tcPr>
            <w:tcW w:type="dxa" w:w="3269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6"/>
              </w:rPr>
              <w:t>Dimension</w:t>
            </w:r>
          </w:p>
        </w:tc>
        <w:tc>
          <w:tcPr>
            <w:tcW w:type="dxa" w:w="3269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6"/>
              </w:rPr>
              <w:t>Bewertung und Beweise</w:t>
            </w:r>
          </w:p>
        </w:tc>
        <w:tc>
          <w:tcPr>
            <w:tcW w:type="dxa" w:w="3269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6"/>
              </w:rPr>
              <w:t>Schlussfolgerung / Begründung</w:t>
            </w:r>
          </w:p>
        </w:tc>
      </w:tr>
      <w:tr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Entscheidung des Hauptverbrauchers</w:t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Aussichten auf den Weg</w:t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Natur / qualitative Bedeutung</w:t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Größe / Konzentration</w:t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Wahrscheinlichkeit und Auswahl der Ergebnisse</w:t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Zeitplan und Umkehrbarkeit</w:t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Kombination mit anderen Informationen</w:t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Aggregation / Aufgliederung</w:t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Verblendung und Berichterstattung</w:t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Entscheidung: Offenlegung / Kombination / Nichtmaterial / Monitor</w:t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Anerkennung und Datum</w:t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</w:tbl>
    <w:p/>
    <w:p>
      <w:pPr>
        <w:pStyle w:val="Heading2"/>
        <w:keepNext/>
      </w:pPr>
      <w:r>
        <w:t>Werkzeug 7 - Metriken, Daten und Beweisregister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52"/>
        <w:gridCol w:w="2452"/>
        <w:gridCol w:w="2452"/>
        <w:gridCol w:w="2452"/>
      </w:tblGrid>
      <w:tr>
        <w:trPr>
          <w:tblHeader w:val="true"/>
        </w:trPr>
        <w:tc>
          <w:tcPr>
            <w:tcW w:type="dxa" w:w="245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5"/>
              </w:rPr>
              <w:t>Metrik / Offenlegung</w:t>
            </w:r>
          </w:p>
        </w:tc>
        <w:tc>
          <w:tcPr>
            <w:tcW w:type="dxa" w:w="245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5"/>
              </w:rPr>
              <w:t>Definition und Grenze</w:t>
            </w:r>
          </w:p>
        </w:tc>
        <w:tc>
          <w:tcPr>
            <w:tcW w:type="dxa" w:w="245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5"/>
              </w:rPr>
              <w:t>Quelle / Methode</w:t>
            </w:r>
          </w:p>
        </w:tc>
        <w:tc>
          <w:tcPr>
            <w:tcW w:type="dxa" w:w="245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5"/>
              </w:rPr>
              <w:t>Eigentümer / Steuerung</w:t>
            </w:r>
          </w:p>
        </w:tc>
      </w:tr>
      <w:tr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</w:tbl>
    <w:p/>
    <w:p>
      <w:pPr>
        <w:pStyle w:val="Heading2"/>
        <w:keepNext/>
      </w:pPr>
      <w:r>
        <w:t>Werkzeug 8 - die derzeitigen und voraussichtlichen finanziellen Auswirkungen zu überbrücken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62"/>
        <w:gridCol w:w="1962"/>
        <w:gridCol w:w="1962"/>
        <w:gridCol w:w="1962"/>
        <w:gridCol w:w="1962"/>
      </w:tblGrid>
      <w:tr>
        <w:trPr>
          <w:tblHeader w:val="true"/>
        </w:trPr>
        <w:tc>
          <w:tcPr>
            <w:tcW w:type="dxa" w:w="196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4"/>
              </w:rPr>
              <w:t>Risiko / Gelegenheit</w:t>
            </w:r>
          </w:p>
        </w:tc>
        <w:tc>
          <w:tcPr>
            <w:tcW w:type="dxa" w:w="196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4"/>
              </w:rPr>
              <w:t>Finanzinstrumente oder -weg</w:t>
            </w:r>
          </w:p>
        </w:tc>
        <w:tc>
          <w:tcPr>
            <w:tcW w:type="dxa" w:w="196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4"/>
              </w:rPr>
              <w:t>Aktuelle Wirkung</w:t>
            </w:r>
          </w:p>
        </w:tc>
        <w:tc>
          <w:tcPr>
            <w:tcW w:type="dxa" w:w="196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4"/>
              </w:rPr>
              <w:t>Erwarteter Effekt / Horizont</w:t>
            </w:r>
          </w:p>
        </w:tc>
        <w:tc>
          <w:tcPr>
            <w:tcW w:type="dxa" w:w="196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4"/>
              </w:rPr>
              <w:t>Annahmen / Beweise</w:t>
            </w:r>
          </w:p>
        </w:tc>
      </w:tr>
      <w:tr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</w:tr>
      <w:tr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</w:tr>
      <w:tr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</w:tr>
      <w:tr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</w:tr>
      <w:tr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</w:tr>
      <w:tr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</w:tr>
    </w:tbl>
    <w:p/>
    <w:p>
      <w:pPr>
        <w:pStyle w:val="Heading2"/>
        <w:keepNext/>
      </w:pPr>
      <w:r>
        <w:t>Werkzeug 9 - Offenlegung und Verkreuzerfassung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62"/>
        <w:gridCol w:w="1962"/>
        <w:gridCol w:w="1962"/>
        <w:gridCol w:w="1962"/>
        <w:gridCol w:w="1962"/>
      </w:tblGrid>
      <w:tr>
        <w:trPr>
          <w:tblHeader w:val="true"/>
        </w:trPr>
        <w:tc>
          <w:tcPr>
            <w:tcW w:type="dxa" w:w="196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4"/>
              </w:rPr>
              <w:t>Material</w:t>
            </w:r>
          </w:p>
        </w:tc>
        <w:tc>
          <w:tcPr>
            <w:tcW w:type="dxa" w:w="196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4"/>
              </w:rPr>
              <w:t>Regierungsführung</w:t>
            </w:r>
          </w:p>
        </w:tc>
        <w:tc>
          <w:tcPr>
            <w:tcW w:type="dxa" w:w="196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4"/>
              </w:rPr>
              <w:t>Strategie / finanzielle Auswirkungen</w:t>
            </w:r>
          </w:p>
        </w:tc>
        <w:tc>
          <w:tcPr>
            <w:tcW w:type="dxa" w:w="196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4"/>
              </w:rPr>
              <w:t>Risikomanagement</w:t>
            </w:r>
          </w:p>
        </w:tc>
        <w:tc>
          <w:tcPr>
            <w:tcW w:type="dxa" w:w="196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4"/>
              </w:rPr>
              <w:t>Messwerte / Ziele / Standort</w:t>
            </w:r>
          </w:p>
        </w:tc>
      </w:tr>
      <w:tr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</w:tr>
      <w:tr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</w:tr>
      <w:tr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</w:tr>
      <w:tr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</w:tr>
      <w:tr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</w:tr>
    </w:tbl>
    <w:p/>
    <w:p>
      <w:pPr>
        <w:pStyle w:val="Heading2"/>
        <w:keepNext/>
      </w:pPr>
      <w:r>
        <w:t>Werkzeug 10 - endgültige Genehmigungsstelle</w:t>
      </w:r>
    </w:p>
    <w:p>
      <w:pPr/>
      <w:r>
        <w:rPr>
          <w:rFonts w:ascii="Arial" w:hAnsi="Arial" w:eastAsia="Arial"/>
        </w:rPr>
        <w:t>☐ Die endgültige Veröffentlichungsversion entspricht der von der Geschäftsleitung und dem Vorstand überprüften Version.</w:t>
      </w:r>
    </w:p>
    <w:p>
      <w:pPr/>
      <w:r>
        <w:rPr>
          <w:rFonts w:ascii="Arial" w:hAnsi="Arial" w:eastAsia="Arial"/>
        </w:rPr>
        <w:t>☐ Die Berichtsgrundlage, die Normen, die Erläuterungen und die beabsichtigten Angaben sind ausdrücklich.</w:t>
      </w:r>
    </w:p>
    <w:p>
      <w:pPr/>
      <w:r>
        <w:rPr>
          <w:rFonts w:ascii="Arial" w:hAnsi="Arial" w:eastAsia="Arial"/>
        </w:rPr>
        <w:t>☐ Wesentliche Risiken und Chancen sind vollständig und können bis zu genehmigten Aufzeichnungen zurückverfolgt werden.</w:t>
      </w:r>
    </w:p>
    <w:p>
      <w:pPr/>
      <w:r>
        <w:rPr>
          <w:rFonts w:ascii="Arial" w:hAnsi="Arial" w:eastAsia="Arial"/>
        </w:rPr>
        <w:t>☐ Die Entscheidungen über die Materialität und Aggregationsentscheidungen sind dokumentiert.</w:t>
      </w:r>
    </w:p>
    <w:p>
      <w:pPr/>
      <w:r>
        <w:rPr>
          <w:rFonts w:ascii="Arial" w:hAnsi="Arial" w:eastAsia="Arial"/>
        </w:rPr>
        <w:t>☐ Governance, Strategie, Risikomanagement, Messwerte und Ziele sind miteinander verbunden.</w:t>
      </w:r>
    </w:p>
    <w:p>
      <w:pPr/>
      <w:r>
        <w:rPr>
          <w:rFonts w:ascii="Arial" w:hAnsi="Arial" w:eastAsia="Arial"/>
        </w:rPr>
        <w:t>☐ Die derzeitigen und erwarteten finanziellen Auswirkungen wurden von der Finanzbehörde überprüft.</w:t>
      </w:r>
    </w:p>
    <w:p>
      <w:pPr/>
      <w:r>
        <w:rPr>
          <w:rFonts w:ascii="Arial" w:hAnsi="Arial" w:eastAsia="Arial"/>
        </w:rPr>
        <w:t>☐ UK SRS S2 ist vollständig oder Absatz E3 Verwendung offenbart und kontrolliert wird.</w:t>
      </w:r>
    </w:p>
    <w:p>
      <w:pPr/>
      <w:r>
        <w:rPr>
          <w:rFonts w:ascii="Arial" w:hAnsi="Arial" w:eastAsia="Arial"/>
        </w:rPr>
        <w:t>☐ Methoden, Schätzungen, Unsicherheit, Einschränkungen und Datenlücken sind transparent.</w:t>
      </w:r>
    </w:p>
    <w:p>
      <w:pPr/>
      <w:r>
        <w:rPr>
          <w:rFonts w:ascii="Arial" w:hAnsi="Arial" w:eastAsia="Arial"/>
        </w:rPr>
        <w:t>☐ Daten, Beweise, Kontrollen und Managementberichte werden aufbewahrt.</w:t>
      </w:r>
    </w:p>
    <w:p>
      <w:pPr/>
      <w:r>
        <w:rPr>
          <w:rFonts w:ascii="Arial" w:hAnsi="Arial" w:eastAsia="Arial"/>
        </w:rPr>
        <w:t>☐ Der Sicherheitsbereich wird getrennt von der Einhaltung der Normen beschrieben.</w:t>
      </w:r>
    </w:p>
    <w:p>
      <w:pPr/>
      <w:r>
        <w:rPr>
          <w:rFonts w:ascii="Arial" w:hAnsi="Arial" w:eastAsia="Arial"/>
        </w:rPr>
        <w:t>☐ Die Ansprüche sind über alle öffentlichen Kanäle hinweg einheitlich.</w:t>
      </w:r>
    </w:p>
    <w:p>
      <w:pPr/>
      <w:r>
        <w:rPr>
          <w:rFonts w:ascii="Arial" w:hAnsi="Arial" w:eastAsia="Arial"/>
        </w:rPr>
        <w:t>☐ Nach der Veröffentlichung werden Überwachungs- und Aktualisierungsdämpfer zugewiesen.</w:t>
      </w:r>
    </w:p>
    <w:p>
      <w:pPr>
        <w:pStyle w:val="Heading2"/>
        <w:keepNext/>
      </w:pPr>
      <w:r>
        <w:t>Genehmigungsbeschluss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52"/>
        <w:gridCol w:w="2452"/>
        <w:gridCol w:w="2452"/>
        <w:gridCol w:w="2452"/>
      </w:tblGrid>
      <w:tr>
        <w:trPr>
          <w:tblHeader w:val="true"/>
        </w:trPr>
        <w:tc>
          <w:tcPr>
            <w:tcW w:type="dxa" w:w="245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6"/>
              </w:rPr>
              <w:t>Rolle</w:t>
            </w:r>
          </w:p>
        </w:tc>
        <w:tc>
          <w:tcPr>
            <w:tcW w:type="dxa" w:w="245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6"/>
              </w:rPr>
              <w:t>Name</w:t>
            </w:r>
          </w:p>
        </w:tc>
        <w:tc>
          <w:tcPr>
            <w:tcW w:type="dxa" w:w="245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6"/>
              </w:rPr>
              <w:t>Entscheidung / Datum</w:t>
            </w:r>
          </w:p>
        </w:tc>
        <w:tc>
          <w:tcPr>
            <w:tcW w:type="dxa" w:w="245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6"/>
              </w:rPr>
              <w:t>Offene Aktionen</w:t>
            </w:r>
          </w:p>
        </w:tc>
      </w:tr>
      <w:tr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Berichtspflichtige Eigentümer</w:t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Finanz- und Finanzprüfer</w:t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Risiko- / Strategieprüfer</w:t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Unternehmenssekretär / Rechtsanwalt</w:t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Technischer Prüfer</w:t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Internes Audit / Bereitschaft zur Sicherung</w:t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Vorsitzender des Vorstands oder Ausschusses</w:t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</w:tbl>
    <w:p/>
    <w:p>
      <w:pPr>
        <w:pStyle w:val="Heading2"/>
        <w:keepNext/>
      </w:pPr>
      <w:r>
        <w:t>Quellen, Status und Überprüfung</w:t>
      </w:r>
    </w:p>
    <w:p>
      <w:pPr/>
      <w:r>
        <w:t>Die in dieser Partie aufbewahrten offiziellen Quellen sind unten aufgeführt. In den Hauptabschnitten werden die Quellen, die diesen Artikel direkt unterstützen, angegeben; andere Eintragungen enthalten einen eng verwandten Umsetzungs-, Regulierungs- oder Vergleichskontext.</w:t>
      </w:r>
    </w:p>
    <w:p>
      <w:pPr/>
      <w:r>
        <w:rPr>
          <w:rFonts w:ascii="Arial" w:hAnsi="Arial" w:eastAsia="Arial"/>
        </w:rPr>
        <w:t>SRC-01. UK SRS S1 Allgemeine Anforderungen an die Offenlegung von nachhaltigkeitsbezogenen Finanzinformationen - Abteilung für Wirtschaft und Handel, 25 Februar 2026- Endgültig . UK Standard; primäre normative Quelle. https://www.gov.uk/government/publications/uk-sustainability-reporting-standards-uk-srs-s1-and-uk-srs-s2</w:t>
      </w:r>
    </w:p>
    <w:p>
      <w:pPr/>
      <w:r>
        <w:rPr>
          <w:rFonts w:ascii="Arial" w:hAnsi="Arial" w:eastAsia="Arial"/>
        </w:rPr>
        <w:t>SRC-02. UK SRS S2 Klimabezogene Angaben - Abteilung für Wirtschaft und Handel, 25 Februar 2026- Endgültig . UK Standard; primäre Quelle für die Klimareportation. https://www.gov.uk/government/publications/uk-sustainability-reporting-standards-uk-srs-s1-and-uk-srs-s2</w:t>
      </w:r>
    </w:p>
    <w:p>
      <w:pPr/>
      <w:r>
        <w:rPr>
          <w:rFonts w:ascii="Arial" w:hAnsi="Arial" w:eastAsia="Arial"/>
        </w:rPr>
        <w:t>SRC-03- Antwort der Regierung auf die Konsultation über UK Nachhaltigkeitsberichterstattungsstandards - Abteilung für Wirtschaft und Handel, 25 Februar 2026- Offizielle Erklärung der endgültigen UK Änderungen, freiwillige Nutzung und Hilfsgenehmigung. https://www.gov.uk/government/consultations/exposure-drafts-uk-sustainability-reporting-standards/outcome/government-response-to-the-consultation-on-uk-sustainability-reporting-standards-web-version</w:t>
      </w:r>
    </w:p>
    <w:p>
      <w:pPr/>
      <w:r>
        <w:rPr>
          <w:rFonts w:ascii="Arial" w:hAnsi="Arial" w:eastAsia="Arial"/>
        </w:rPr>
        <w:t>SRC-04. Entwicklung der Berichterstattung über Nachhaltigkeit: häufig gestellte Fragen - Finanzberichterstattungsrat, aktualisiert 26 Februar 2026- Offiziell . UK Umsetzungskontext und FAQ. https://www.frc.org.uk/library/standards-codes-policy/accounting-and-reporting/annual-corporate-reporting/sustainability-reporting-developments-frequently-asked-questions/</w:t>
      </w:r>
    </w:p>
    <w:p>
      <w:pPr/>
      <w:r>
        <w:rPr>
          <w:rFonts w:ascii="Arial" w:hAnsi="Arial" w:eastAsia="Arial"/>
        </w:rPr>
        <w:t>SRC-05. CP26/5: Einheitlichstellung der Nachhaltigkeitsinformationen der börsennotierten Emittenten mit internationalen Standards - Financial Conduct Authority, 30 Januar 2026- Schließende Konsultation; keine endgültigen Vorschriften 6 August 2026. https://www.fca.org.uk/publications/consultation-papers/cp26-5-sustainability-disclosures</w:t>
      </w:r>
    </w:p>
    <w:p>
      <w:pPr/>
      <w:r>
        <w:rPr>
          <w:rFonts w:ascii="Arial" w:hAnsi="Arial" w:eastAsia="Arial"/>
        </w:rPr>
        <w:t>SRC-06- Leitlinien für den strategischen Bericht - Finanzberichterstattungsrat, 4 Februar 2026- offizielle nicht-bindende Leitlinien; UK Kontext der Verbindungsfähigkeit des Jahresberichts. https://www.frc.org.uk/library/standards-codes-policy/accounting-and-reporting/annual-corporate-reporting/guidance-on-the-strategic-report/</w:t>
      </w:r>
    </w:p>
    <w:p>
      <w:pPr/>
      <w:r>
        <w:rPr>
          <w:rFonts w:ascii="Arial" w:hAnsi="Arial" w:eastAsia="Arial"/>
        </w:rPr>
        <w:t>SRC-07. IFRS S1 Allgemeine Anforderungen an die Offenlegung von nachhaltigkeitsbezogenen Finanzinformationen - IFRS Stiftung, Juni 2023- Internationale Norm; Vergleichsquelle für Doppel- UK/IFRS Ansprüche. https://www.ifrs.org/issued-standards/ifrs-sustainability-standards-navigator/ifrs-s1-general-requirements/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08"/>
      </w:tblGrid>
      <w:tr>
        <w:tc>
          <w:tcPr>
            <w:tcW w:type="dxa" w:w="9808"/>
            <w:shd w:fill="E8F3F3"/>
            <w:tcMar>
              <w:top w:w="120" w:type="dxa"/>
              <w:start w:w="150" w:type="dxa"/>
              <w:bottom w:w="120" w:type="dxa"/>
              <w:end w:w="150" w:type="dxa"/>
            </w:tcMar>
            <w:tcBorders>
              <w:top w:val="single" w:sz="4" w:color="B6C7D8"/>
              <w:bottom w:val="single" w:sz="4" w:color="B6C7D8"/>
              <w:right w:val="single" w:sz="4" w:color="B6C7D8"/>
              <w:left w:val="single" w:sz="18" w:color="2E7B8A"/>
            </w:tcBorders>
          </w:tcPr>
          <w:p>
            <w:r>
              <w:rPr>
                <w:rFonts w:ascii="Arial" w:hAnsi="Arial" w:eastAsia="Arial"/>
                <w:b/>
                <w:color w:val="2E7B8A"/>
                <w:sz w:val="20"/>
              </w:rPr>
              <w:t>Haupt-Punktanker
UK SRS S1 und UK SRS S2, Ende Februar 2026 Die fünf verwandten Knowledge Hub-Artikel in diesem Paket.</w:t>
              <w:br/>
            </w:r>
            <w:r>
              <w:rPr>
                <w:rFonts w:ascii="Arial" w:hAnsi="Arial" w:eastAsia="Arial"/>
                <w:color w:val="1C2733"/>
                <w:sz w:val="18"/>
              </w:rPr>
              <w:t/>
            </w:r>
          </w:p>
        </w:tc>
      </w:tr>
    </w:tbl>
    <w:p/>
    <w:p>
      <w:pPr/>
      <w:r>
        <w:rPr>
          <w:rFonts w:ascii="Arial" w:hAnsi="Arial" w:eastAsia="Arial"/>
        </w:rPr>
        <w:t>Datum der technischen Überprüfung: 6 August 2026Die ... UK Die regulatorische Position des SRS sollte vor Veröffentlichung oder Verwendung in einem Live-Reporting-Zyklus erneut überprüft werden.5 Die Kommission hat die Möglichkeit, die Kommission zu prüfen, ob sie in der Lage ist, die Richtlinie zu ändern.</w:t>
      </w:r>
    </w:p>
    <w:sectPr>
      <w:headerReference w:type="default" r:id="rId9"/>
      <w:footerReference w:type="default" r:id="rId10"/>
      <w:pgSz w:w="11906" w:h="16838"/>
      <w:pgMar w:top="1020" w:right="1049" w:bottom="879" w:left="1049" w:header="397" w:footer="39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UKSRS1-TOOL-006  ♬ Überprüfung 6 August 2026  |  </w:t>
    </w:r>
    <w: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6" w:color="4C86B8" w:space="4"/>
      </w:pBdr>
    </w:pPr>
    <w:r>
      <w:t>LONDON REPORTING ACADEMY  ·  WISSENSZENTRUM  ·  UK SRS S1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10" w:line="264" w:lineRule="auto"/>
    </w:pPr>
    <w:rPr>
      <w:rFonts w:ascii="Arial" w:hAnsi="Arial"/>
      <w:color w:val="18212B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D3068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D3068"/>
      <w:sz w:val="3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1E5A8A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0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D3068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Arial" w:hAnsi="Arial"/>
      <w:b w:val="0"/>
      <w:i/>
      <w:iCs/>
      <w:color w:val="59636E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RACaption">
    <w:name w:val="LRA Caption"/>
    <w:pPr>
      <w:spacing w:after="140"/>
    </w:pPr>
    <w:rPr>
      <w:rFonts w:ascii="Arial" w:hAnsi="Arial"/>
      <w:i/>
      <w:color w:val="59636E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hyperlink" Target="https://assets.publishing.service.gov.uk/media/699dd3b007d7bff3604d6c5e/uk_srs_1_general_requirements_for_disclosure_of_sustainability_related_financial_information.pdf" TargetMode="External"/><Relationship Id="rId14" Type="http://schemas.openxmlformats.org/officeDocument/2006/relationships/hyperlink" Target="https://assets.publishing.service.gov.uk/media/699ddf22532c9ad91ebbcc2b/uk_srs_s2_climate_related_disclosures.pdf" TargetMode="External"/><Relationship Id="rId15" Type="http://schemas.openxmlformats.org/officeDocument/2006/relationships/hyperlink" Target="https://www.gov.uk/government/consultations/exposure-drafts-uk-sustainability-reporting-standards/outcome/government-response-to-the-consultation-on-uk-sustainability-reporting-standards-web-version" TargetMode="External"/><Relationship Id="rId16" Type="http://schemas.openxmlformats.org/officeDocument/2006/relationships/hyperlink" Target="https://www.frc.org.uk/library/standards-codes-policy/accounting-and-reporting/annual-corporate-reporting/sustainability-reporting-developments-frequently-asked-questions/" TargetMode="External"/><Relationship Id="rId17" Type="http://schemas.openxmlformats.org/officeDocument/2006/relationships/hyperlink" Target="https://www.fca.org.uk/publications/consultation-papers/cp26-5-sustainability-disclosures" TargetMode="External"/><Relationship Id="rId18" Type="http://schemas.openxmlformats.org/officeDocument/2006/relationships/hyperlink" Target="https://www.frc.org.uk/library/standards-codes-policy/accounting-and-reporting/annual-corporate-reporting/guidance-on-the-strategic-report/" TargetMode="External"/><Relationship Id="rId19" Type="http://schemas.openxmlformats.org/officeDocument/2006/relationships/hyperlink" Target="https://www.frc.org.uk/library/standards-codes-policy/corporate-governance/uk-corporate-governance-code/" TargetMode="External"/><Relationship Id="rId20" Type="http://schemas.openxmlformats.org/officeDocument/2006/relationships/hyperlink" Target="https://www.frc.org.uk/docs/9420/html/" TargetMode="External"/><Relationship Id="rId21" Type="http://schemas.openxmlformats.org/officeDocument/2006/relationships/hyperlink" Target="https://www.frc.org.uk/library/standards-codes-policy/audit-assurance-and-ethics/assurance-standard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UK SRS S1 First-Cycle Working Toolkit</dc:title>
  <dc:subject>Editable registers and approval aids for reporting basis, implementation planning, paragraph E3, claims, materiality, risk and opportunity identification, metrics, financial effects and board sign-off.</dc:subject>
  <dc:creator/>
  <cp:keywords>UK SRS S1, UK sustainability reporting, materiality, climate-only relief, sustainability-related risks and opportunities</cp:keywords>
  <dc:description>Reviewed 2 August 2026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