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left"/>
      </w:pPr>
      <w:r>
        <w:drawing>
          <wp:inline xmlns:a="http://schemas.openxmlformats.org/drawingml/2006/main" xmlns:pic="http://schemas.openxmlformats.org/drawingml/2006/picture">
            <wp:extent cx="4023360" cy="667031"/>
            <wp:docPr id="1" name="Picture 1"/>
            <wp:cNvGraphicFramePr>
              <a:graphicFrameLocks noChangeAspect="1"/>
            </wp:cNvGraphicFramePr>
            <a:graphic>
              <a:graphicData uri="http://schemas.openxmlformats.org/drawingml/2006/picture">
                <pic:pic>
                  <pic:nvPicPr>
                    <pic:cNvPr id="0" name="LRA_logo.png"/>
                    <pic:cNvPicPr/>
                  </pic:nvPicPr>
                  <pic:blipFill>
                    <a:blip r:embed="rId11"/>
                    <a:stretch>
                      <a:fillRect/>
                    </a:stretch>
                  </pic:blipFill>
                  <pic:spPr>
                    <a:xfrm>
                      <a:off x="0" y="0"/>
                      <a:ext cx="4023360" cy="667031"/>
                    </a:xfrm>
                    <a:prstGeom prst="rect"/>
                  </pic:spPr>
                </pic:pic>
              </a:graphicData>
            </a:graphic>
          </wp:inline>
        </w:drawing>
      </w:r>
    </w:p>
    <w:p>
      <w:pPr>
        <w:spacing w:before="160" w:after="160"/>
      </w:pPr>
      <w:r>
        <w:rPr>
          <w:rFonts w:ascii="Arial" w:hAnsi="Arial"/>
          <w:b/>
          <w:color w:val="1E5A8A"/>
          <w:sz w:val="21"/>
        </w:rPr>
        <w:t>LRA WISSENSZENTRUM  ·  UK SRS S1</w:t>
      </w:r>
    </w:p>
    <w:p>
      <w:pPr>
        <w:pStyle w:val="Title"/>
        <w:spacing w:after="200"/>
      </w:pPr>
      <w:r>
        <w:rPr>
          <w:rFonts w:ascii="Arial" w:hAnsi="Arial"/>
          <w:b/>
          <w:color w:val="0D3068"/>
          <w:sz w:val="54"/>
        </w:rPr>
        <w:t>UK SRS S1 Berichtsvorlage - ein bearbeitbares Erstellungstool</w:t>
      </w:r>
    </w:p>
    <w:p>
      <w:pPr>
        <w:pStyle w:val="Subtitle"/>
        <w:spacing w:after="300"/>
      </w:pPr>
      <w:r>
        <w:rPr>
          <w:rFonts w:ascii="Arial" w:hAnsi="Arial"/>
          <w:color w:val="59636E"/>
          <w:sz w:val="24"/>
        </w:rPr>
        <w:t>Ein auf Word basierender Rahmen für die Erstellung eines Jahresberichts mit Vorbereitungsschulden, vier-Säulen-Anfragen, Beweisfeldern, Querverweisindex und Sign-off-Kontrollen.</w:t>
      </w:r>
    </w:p>
    <w:tbl>
      <w:tblPr>
        <w:tblW w:type="auto" w:w="0"/>
        <w:jc w:val="left"/>
        <w:tblLayout w:type="fixed"/>
        <w:tblLook w:firstColumn="1" w:firstRow="1" w:lastColumn="0" w:lastRow="0" w:noHBand="0" w:noVBand="1" w:val="04A0"/>
      </w:tblPr>
      <w:tblGrid>
        <w:gridCol w:w="9792"/>
      </w:tblGrid>
      <w:tr>
        <w:tc>
          <w:tcPr>
            <w:tcW w:type="dxa" w:w="9922"/>
            <w:shd w:fill="0D3068"/>
            <w:tcMar>
              <w:top w:w="0" w:type="dxa"/>
              <w:start w:w="0" w:type="dxa"/>
              <w:bottom w:w="0" w:type="dxa"/>
              <w:end w:w="0" w:type="dxa"/>
            </w:tcMar>
          </w:tcPr>
          <w:p>
            <w:r/>
          </w:p>
        </w:tc>
      </w:tr>
    </w:tbl>
    <w:tbl>
      <w:tblPr>
        <w:tblW w:type="auto" w:w="0"/>
        <w:jc w:val="left"/>
        <w:tblLayout w:type="fixed"/>
        <w:tblLook w:firstColumn="1" w:firstRow="1" w:lastColumn="0" w:lastRow="0" w:noHBand="0" w:noVBand="1" w:val="04A0"/>
      </w:tblPr>
      <w:tblGrid>
        <w:gridCol w:w="4961"/>
        <w:gridCol w:w="4961"/>
      </w:tblGrid>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Artikel-ID</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UKSRS1-TEMPLATE-EDITABLE</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Format</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Bearbeitbares Implementierungswerkzeug</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Hauptzuhörer</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UK Berichterstattungsteams für SRS, Finanz-, Rechts-, Governance- und technische Prüfer</w:t>
            </w:r>
          </w:p>
        </w:tc>
      </w:tr>
      <w:tr>
        <w:tc>
          <w:tcPr>
            <w:tcW w:type="dxa" w:w="2232"/>
            <w:shd w:fill="EAF2F8"/>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color w:val="0D3068"/>
                <w:sz w:val="17"/>
              </w:rPr>
              <w:t>Technischer Status</w:t>
            </w:r>
          </w:p>
        </w:tc>
        <w:tc>
          <w:tcPr>
            <w:tcW w:type="dxa" w:w="7560"/>
            <w:tcMar>
              <w:top w:w="100" w:type="dxa"/>
              <w:start w:w="120" w:type="dxa"/>
              <w:bottom w:w="100" w:type="dxa"/>
              <w:end w:w="120" w:type="dxa"/>
            </w:tcMar>
            <w:tcBorders>
              <w:top w:val="single" w:sz="4" w:color="B9CAD9"/>
              <w:left w:val="single" w:sz="4" w:color="B9CAD9"/>
              <w:bottom w:val="single" w:sz="4" w:color="B9CAD9"/>
              <w:right w:val="single" w:sz="4" w:color="B9CAD9"/>
            </w:tcBorders>
          </w:tcPr>
          <w:p>
            <w:r>
              <w:rPr>
                <w:rFonts w:ascii="Arial" w:hAnsi="Arial"/>
                <w:b w:val="0"/>
                <w:color w:val="18212B"/>
                <w:sz w:val="17"/>
              </w:rPr>
              <w:t>Erstellt auf Grundlage der am 25. Februar 2026 veröffentlichten UK-SRS-Ausgaben; geprüft am 2. August 2026.</w:t>
            </w:r>
          </w:p>
        </w:tc>
      </w:tr>
    </w:tbl>
    <w:p>
      <w:pPr>
        <w:spacing w:before="320"/>
      </w:pPr>
      <w:r>
        <w:rPr>
          <w:rFonts w:ascii="Arial" w:hAnsi="Arial"/>
          <w:i/>
          <w:color w:val="59636E"/>
          <w:sz w:val="18"/>
        </w:rPr>
        <w:t>Schulungsmaterial für Praktikerinnen und Praktiker. Illustrative Beispiele und Formulierungen müssen angepasst und fachlich geprüft werden.</w:t>
      </w:r>
    </w:p>
    <w:p>
      <w:r>
        <w:br w:type="page"/>
      </w:r>
    </w:p>
    <w:tbl>
      <w:tblPr>
        <w:tblW w:type="auto" w:w="0"/>
        <w:jc w:val="left"/>
        <w:tblLayout w:type="fixed"/>
        <w:tblLook w:firstColumn="1" w:firstRow="1" w:lastColumn="0" w:lastRow="0" w:noHBand="0" w:noVBand="1" w:val="04A0"/>
      </w:tblPr>
      <w:tblGrid>
        <w:gridCol w:w="9922"/>
      </w:tblGrid>
      <w:tr>
        <w:trPr>
          <w:cantSplit/>
        </w:trPr>
        <w:tc>
          <w:tcPr>
            <w:tcW w:type="dxa" w:w="9792"/>
            <w:shd w:fill="FFF4DF"/>
            <w:tcBorders>
              <w:top w:val="single" w:sz="3" w:color="B9CAD9"/>
              <w:left w:val="single" w:sz="18" w:color="A76900"/>
              <w:bottom w:val="single" w:sz="3" w:color="B9CAD9"/>
              <w:right w:val="single" w:sz="3" w:color="B9CAD9"/>
            </w:tcBorders>
            <w:tcMar>
              <w:top w:w="120" w:type="dxa"/>
              <w:start w:w="150" w:type="dxa"/>
              <w:bottom w:w="120" w:type="dxa"/>
              <w:end w:w="150" w:type="dxa"/>
            </w:tcMar>
          </w:tcPr>
          <w:p>
            <w:pPr>
              <w:spacing w:after="60"/>
            </w:pPr>
            <w:r>
              <w:rPr>
                <w:rFonts w:ascii="Arial" w:hAnsi="Arial"/>
                <w:b/>
                <w:color w:val="A76900"/>
                <w:sz w:val="21"/>
              </w:rPr>
              <w:t>Wie diese Vorlage verwendet wird</w:t>
            </w:r>
          </w:p>
          <w:p>
            <w:pPr>
              <w:spacing w:after="0"/>
            </w:pPr>
            <w:r>
              <w:rPr>
                <w:rFonts w:ascii="Arial" w:hAnsi="Arial"/>
                <w:color w:val="18212B"/>
                <w:sz w:val="19"/>
              </w:rPr>
              <w:t>Füllen Sie nur die Anfragen aus, die für materielle Informationen und die zugelassenen Berichtsgrundlagen relevant sind. Ersetzen Sie alle in Klammern versehenen Texte. Verknüpfen Sie jede materielle Erklärung mit Beweisen, einem benannten Eigentümer und einem Prüfer. Löschen Sie unbenutzte Entwurfsanweisungen vor der Veröffentlichung. Dieses Tool ist keine offizielle Regierungsvorlage und garantiert nicht die Einhaltung.</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1E5A8A"/>
              <w:bottom w:val="single" w:sz="3" w:color="B9CAD9"/>
              <w:right w:val="single" w:sz="3" w:color="B9CAD9"/>
            </w:tcBorders>
            <w:tcMar>
              <w:top w:w="120" w:type="dxa"/>
              <w:start w:w="150" w:type="dxa"/>
              <w:bottom w:w="120" w:type="dxa"/>
              <w:end w:w="150" w:type="dxa"/>
            </w:tcMar>
          </w:tcPr>
          <w:p>
            <w:pPr>
              <w:spacing w:after="60"/>
            </w:pPr>
            <w:r>
              <w:rPr>
                <w:rFonts w:ascii="Arial" w:hAnsi="Arial"/>
                <w:b/>
                <w:color w:val="1E5A8A"/>
                <w:sz w:val="21"/>
              </w:rPr>
              <w:t>Aktueller Status</w:t>
            </w:r>
          </w:p>
          <w:p>
            <w:pPr>
              <w:spacing w:after="0"/>
            </w:pPr>
            <w:r>
              <w:rPr>
                <w:rFonts w:ascii="Arial" w:hAnsi="Arial"/>
                <w:color w:val="18212B"/>
                <w:sz w:val="19"/>
              </w:rPr>
              <w:t>UK SRS S1 und UK SRS S2 wurden am 25 Februar 2026 Die Kommission hat die Kommission mit der Erarbeitung des Berichts über die Einführung eines neuen Systems zur Übermittlung von Daten und Informationen über die in Artikel 2 Absatz 1 genannten Daten im Zusammenhang mit den Anforderungen an die Unternehmensrechnungslegung und dem Geschäftsverkehrsvertrag (ABl.</w:t>
            </w:r>
          </w:p>
        </w:tc>
      </w:tr>
    </w:tbl>
    <w:p>
      <w:pPr>
        <w:spacing w:after="20"/>
      </w:pPr>
    </w:p>
    <w:p>
      <w:pPr>
        <w:pStyle w:val="Heading1"/>
        <w:pageBreakBefore/>
      </w:pPr>
      <w:r>
        <w:rPr>
          <w:rFonts w:ascii="Arial" w:hAnsi="Arial"/>
          <w:b/>
          <w:color w:val="0D3068"/>
          <w:sz w:val="38"/>
        </w:rPr>
        <w:t>1- Vorbereitungsschlüssel</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Erläutern Sie die Berichtspflichtige und vereinbaren sie mit den damit verbundenen Abschlüssen.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Angabe des Zeitraums und Bestätigung der Veröffentlichung gleichzeitig mit den damit verbundenen Jahresabschlüssen.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Staatliche freiwillige Nutzung oder das genaue obligatorische Gesetz/Regelung und deren Wirksamkeitsdauer.</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Identifizieren UK SRS S1 und S2 und der Februar 2026 Ausgabe von Informationen; andere Leitlinien werden separat angegeben.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die Hauptnutzer, Aussichten, den Informationsmaterialitätstest, Aggregation, Verblendung und Neubewertung.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Identifizieren Sie die tatsächlich angewandten Branchen und spezifischen Quellen, einschließlich der eingegangenen oder angepassten Messwerte.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Erläutern Sie jeden Absatz, den Grund, die betroffene Offenlegung, die Ausgleichsinformationen und die Wirkung der Ansprüche.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Urteile, die sich am stärksten auf die Offenlegung auswirken.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Identifizieren Sie höchst unsichere Beträge, Quellen, Annahmen, Empfindlichkeit und mögliche Ergebnisse.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Berichtsanordnung und führen Sie eine Liste genauer kontrollierter Referenzen auf.</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nur nach technischer und rechtlicher Überprüfung der vollständigen Grundlage.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rPr>
          <w:rFonts w:ascii="Arial" w:hAnsi="Arial"/>
          <w:b/>
          <w:color w:val="0D3068"/>
          <w:sz w:val="38"/>
        </w:rPr>
        <w:t>2- Überblick über die Führungskräfte</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Zusammenfassung der wesentlichen Risiken und Chancen im Zusammenhang mit Nachhaltigkeit, die die Aussichten beeinflussen, sowie der wesentlichen Veränderungen im Zeitraum.</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Zusammenfassung der wichtigsten Geschäftsmodelle, Strategien, Schlussfolgerungen zu finanziellen Auswirkungen und Resilienz.</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Zusammenfassung von Erleichterungen, materieller Unsicherheit, Grenzwerte und Versicherungsdeckung.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rPr>
          <w:rFonts w:ascii="Arial" w:hAnsi="Arial"/>
          <w:b/>
          <w:color w:val="0D3068"/>
          <w:sz w:val="38"/>
        </w:rPr>
        <w:t>3- Regierungsführung</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Identifizieren Sie die Stelle oder Einzelperson und wie sich die Verantwortlichkeiten in den Mandaten und Politiken widerspiegeln.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wie geeignete Fähigkeiten verfügbar oder entwickelt werden.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wie und wie oft der Körper informiert wird und welche Eskalationsschwellen gelten.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wie in der Strategie, bei großen Transaktionen und im Risikomanagement Nachhaltigkeitsfragen berücksichtigt werden.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die Überwachung der Zielvorgaben, der Fortschritte und jeglicher Vergütungsverknüpfung.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die Delegation des Managements, die Berichterstattung und die Integration von Kontrollen mit anderen Funktionen.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rPr>
          <w:rFonts w:ascii="Arial" w:hAnsi="Arial"/>
          <w:b/>
          <w:color w:val="0D3068"/>
          <w:sz w:val="38"/>
        </w:rPr>
        <w:t>4- Strategie</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Sache, Ursache, Exposition, Konzentration und Zeithorizont.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aktuellen und erwarteten Auswirkungen und deren Konzentration.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Antworten, Pläne, Fortschritte, Entscheidungen und Kompromisse.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Auswirkungen auf die finanzielle Lage, die Leistung und die Cashflows im Zeitraum.</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erwarteten Auswirkungen auf kurze, mittlere und lange Sicht und wie sie in die Finanzplanung einbezogen werden.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Angeben Sie die Mengen oder Bereiche oder erklären Sie die Verwendung von Hilfsmitteln und betroffene Linie.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Bewertung, Annahmen, Anpassungsfähigkeit und Einschränkungen.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rPr>
          <w:rFonts w:ascii="Arial" w:hAnsi="Arial"/>
          <w:b/>
          <w:color w:val="0D3068"/>
          <w:sz w:val="38"/>
        </w:rPr>
        <w:t>5Risikomanagement</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Methoden, Quellen, die Deckung der Wertschöpfungskette und die Auslöser.</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Kriterien, Unsicherheit, Priorität und Verbindungen zur Wesentlichkeit.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Metriken, Schwellenwerte, Vorfälle, Veränderungen und Eskalation.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die Integration mit Risikomanagement, Strategie, Finanzierungen und Kontrollen der Unternehmen.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wesentliche Veränderungen gegenüber dem Vorjahr.</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rPr>
          <w:rFonts w:ascii="Arial" w:hAnsi="Arial"/>
          <w:b/>
          <w:color w:val="0D3068"/>
          <w:sz w:val="38"/>
        </w:rPr>
        <w:t>6- Metriken und Ziele</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Liste der von einem anwendbaren UK Nachhaltigkeitsberichterstattungsstandard.</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Liste der für die Überwachung jedes wesentlichen Risikos/Chancen und Leistungsmerkmals verwendeten Metriken.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Erläutern Sie die Branchenrelevanz, die Quelle, die Einbeziehung und jede Anpassung.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Definition von Metriken, Grenzen, Einheiten, Typen, Validierung, Berechnung, Eingaben, Einschränkungen und Annahmen.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Staatliche Kennzahlen, Ziel, Zeitraum, Basiszeit, Meilensteine und Genehmigung.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Berichte über Leistung, Trend, verpasste Meilensteine und Korrekturmaßnahmen.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Erläutern Sie die Revisionen, Ersatzungen, Umrechnungen und Vergleichbarkeitswirkungen.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rPr>
          <w:rFonts w:ascii="Arial" w:hAnsi="Arial"/>
          <w:b/>
          <w:color w:val="0D3068"/>
          <w:sz w:val="38"/>
        </w:rPr>
        <w:t>7- Urteile, Unsicherheit und Fehler</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die Urteile, die sich am meisten auf materielle Informationen auswirkten.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Erklären Sie, warum spezifische Richtlinien und Branchen angewendet wurden.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Bereiche, Szenarien, Fähigkeits- und Unsicherheitsurteile.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die Extrapolation, die Zuordnung, die Faktoren, fehlende Daten und die Empfindlichkeit.</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Beschreiben Sie Änderungen in Schätzungen oder Methoden und Korrekturen von wesentlichen Fehlern vor der Periode.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rPr>
          <w:rFonts w:ascii="Arial" w:hAnsi="Arial"/>
          <w:b/>
          <w:color w:val="0D3068"/>
          <w:sz w:val="38"/>
        </w:rPr>
        <w:t>8- Verknüpfung, Sicherstellung und Genehmigung</w:t>
      </w: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Identifizieren Sie die genaue Anforderung/Thema, das Dokument, die Seite/Anker, den Zugriff, den Zeitpunkt, den Besitzer und die Version.</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Staatliche Gegenstand, Kriterien, Niveau, Anbieter, Zeitraum, Grenze, Ausschlüsse und Schlussfolgerung.</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Aufzeichnungen über die Vereinbarkeit mit dem Strategiebericht, die Hauptrisiken, KPIs und Finanzberichte.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Vollständigkeit der Aufzeichnungen, Daten, Finanzen, Rechts- und Kontrollberichte.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tbl>
      <w:tblPr>
        <w:tblW w:type="auto" w:w="0"/>
        <w:jc w:val="left"/>
        <w:tblLayout w:type="fixed"/>
        <w:tblLook w:firstColumn="1" w:firstRow="1" w:lastColumn="0" w:lastRow="0" w:noHBand="0" w:noVBand="1" w:val="04A0"/>
      </w:tblPr>
      <w:tblGrid>
        <w:gridCol w:w="9922"/>
      </w:tblGrid>
      <w:tr>
        <w:trPr>
          <w:cantSplit/>
        </w:trPr>
        <w:tc>
          <w:tcPr>
            <w:tcW w:type="dxa" w:w="9792"/>
            <w:tcMar>
              <w:top w:w="0" w:type="dxa"/>
              <w:start w:w="0" w:type="dxa"/>
              <w:bottom w:w="0" w:type="dxa"/>
              <w:end w:w="0" w:type="dxa"/>
            </w:tcMar>
            <w:tcBorders>
              <w:top w:val="nil" w:sz="0" w:color="FFFFFF"/>
              <w:left w:val="nil" w:sz="0" w:color="FFFFFF"/>
              <w:bottom w:val="nil" w:sz="0" w:color="FFFFFF"/>
              <w:right w:val="nil" w:sz="0" w:color="FFFFFF"/>
            </w:tcBorders>
          </w:tcPr>
          <w:p>
            <w:pPr>
              <w:spacing w:after="0" w:line="24" w:lineRule="auto"/>
            </w:pPr>
            <w:r>
              <w:rPr>
                <w:rFonts w:ascii="Arial" w:hAnsi="Arial"/>
                <w:color w:val="FFFFFF"/>
                <w:sz w:val="2"/>
              </w:rPr>
            </w:r>
          </w:p>
          <w:tbl>
            <w:tblPr>
              <w:tblW w:type="auto" w:w="0"/>
              <w:jc w:val="left"/>
              <w:tblLayout w:type="fixed"/>
              <w:tblLook w:firstColumn="1" w:firstRow="1" w:lastColumn="0" w:lastRow="0" w:noHBand="0" w:noVBand="1" w:val="04A0"/>
            </w:tblPr>
            <w:tblGrid>
              <w:gridCol w:w="4896"/>
              <w:gridCol w:w="4896"/>
            </w:tblGrid>
            <w:tr>
              <w:trPr>
                <w:cantSplit/>
              </w:trPr>
              <w:tc>
                <w:tcPr>
                  <w:tcW w:type="dxa" w:w="2088"/>
                  <w:shd w:fill="0D306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FFFFFF"/>
                      <w:sz w:val="17"/>
                    </w:rPr>
                    <w:t>- Schnell .</w:t>
                  </w:r>
                </w:p>
              </w:tc>
              <w:tc>
                <w:tcPr>
                  <w:tcW w:type="dxa" w:w="7459"/>
                  <w:shd w:fill="FFFFFF"/>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Datumsbestimmungen, Dokumente, Ansprüche, Erleichterungen, Bedingungen und delegierte Behörde.</w:t>
                  </w:r>
                </w:p>
              </w:tc>
            </w:tr>
            <w:tr>
              <w:trPr>
                <w:cantSplit/>
                <w:trHeight w:val="90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Entwurf der Antwort</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[Insertion der unternehmensspezifischen Angaben]</w:t>
                  </w:r>
                </w:p>
              </w:tc>
            </w:tr>
            <w:tr>
              <w:trPr>
                <w:cantSplit/>
                <w:trHeight w:val="640" w:hRule="atLeas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Beweise / Quelle</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[Einfügen Sie Beweis-ID, Systemberichte, Berechnungen, Richtlinien, Abschnitte oder Querverweise]</w:t>
                  </w:r>
                </w:p>
              </w:tc>
            </w:tr>
            <w:tr>
              <w:trPr>
                <w:cantSplit/>
              </w:trPr>
              <w:tc>
                <w:tcPr>
                  <w:tcW w:type="dxa" w:w="2088"/>
                  <w:shd w:fill="EAF2F8"/>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color w:val="0D3068"/>
                      <w:sz w:val="17"/>
                    </w:rPr>
                    <w:t>Eigentümer / Prüfer / Status</w:t>
                  </w:r>
                </w:p>
              </w:tc>
              <w:tc>
                <w:tcPr>
                  <w:tcW w:type="dxa" w:w="7459"/>
                  <w:shd w:fill="F5F8FB"/>
                  <w:tcMar>
                    <w:top w:w="100" w:type="dxa"/>
                    <w:start w:w="110" w:type="dxa"/>
                    <w:bottom w:w="100" w:type="dxa"/>
                    <w:end w:w="110" w:type="dxa"/>
                  </w:tcMar>
                  <w:tcBorders>
                    <w:top w:val="single" w:sz="3" w:color="B9CAD9"/>
                    <w:left w:val="single" w:sz="3" w:color="B9CAD9"/>
                    <w:bottom w:val="single" w:sz="3" w:color="B9CAD9"/>
                    <w:right w:val="single" w:sz="3" w:color="B9CAD9"/>
                  </w:tcBorders>
                </w:tcPr>
                <w:p>
                  <w:r>
                    <w:rPr>
                      <w:rFonts w:ascii="Arial" w:hAnsi="Arial"/>
                      <w:b w:val="0"/>
                      <w:color w:val="18212B"/>
                      <w:sz w:val="17"/>
                    </w:rPr>
                    <w:t>Eigentümer: [ ] Kritiker: [ ] Status: [Nicht gestartet / Entwurf / Bewertet / genehmigt]</w:t>
                  </w:r>
                </w:p>
              </w:tc>
            </w:tr>
          </w:tbl>
          <w:p/>
        </w:tc>
      </w:tr>
    </w:tbl>
    <w:p>
      <w:pPr>
        <w:spacing w:after="40"/>
      </w:pPr>
    </w:p>
    <w:p>
      <w:pPr>
        <w:pStyle w:val="Heading1"/>
        <w:pageBreakBefore/>
      </w:pPr>
      <w:r>
        <w:t>Verkreuzerreferenz- und Offenlegungsindex</w:t>
      </w:r>
    </w:p>
    <w:tbl>
      <w:tblPr>
        <w:tblW w:type="auto" w:w="0"/>
        <w:jc w:val="left"/>
        <w:tblLayout w:type="fixed"/>
        <w:tblLook w:firstColumn="1" w:firstRow="1" w:lastColumn="0" w:lastRow="0" w:noHBand="0" w:noVBand="1" w:val="04A0"/>
      </w:tblPr>
      <w:tblGrid>
        <w:gridCol w:w="1417"/>
        <w:gridCol w:w="1417"/>
        <w:gridCol w:w="1417"/>
        <w:gridCol w:w="1417"/>
        <w:gridCol w:w="1417"/>
        <w:gridCol w:w="1417"/>
        <w:gridCol w:w="1417"/>
      </w:tblGrid>
      <w:tr>
        <w:trPr>
          <w:tblHeader w:val="true"/>
        </w:trPr>
        <w:tc>
          <w:tcPr>
            <w:tcW w:type="dxa" w:w="173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Anforderung / Thema</w:t>
            </w:r>
          </w:p>
        </w:tc>
        <w:tc>
          <w:tcPr>
            <w:tcW w:type="dxa" w:w="136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Ort der Anlage</w:t>
            </w:r>
          </w:p>
        </w:tc>
        <w:tc>
          <w:tcPr>
            <w:tcW w:type="dxa" w:w="2231"/>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Dokument / URL</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Eigentümer</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Rezensionär</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Versicherung</w:t>
            </w:r>
          </w:p>
        </w:tc>
        <w:tc>
          <w:tcPr>
            <w:tcW w:type="dxa" w:w="1115"/>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Status</w:t>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r>
        <w:trPr>
          <w:cantSplit/>
        </w:trPr>
        <w:tc>
          <w:tcPr>
            <w:tcW w:type="dxa" w:w="173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36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2231"/>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c>
          <w:tcPr>
            <w:tcW w:type="dxa" w:w="1115"/>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r>
          </w:p>
        </w:tc>
      </w:tr>
    </w:tbl>
    <w:p>
      <w:pPr>
        <w:spacing w:after="20"/>
      </w:pPr>
    </w:p>
    <w:p>
      <w:pPr>
        <w:pStyle w:val="Heading1"/>
        <w:pageBreakBefore/>
      </w:pPr>
      <w:r>
        <w:t>Endgültige Unterzeichnung</w:t>
      </w:r>
    </w:p>
    <w:tbl>
      <w:tblPr>
        <w:tblW w:type="auto" w:w="0"/>
        <w:jc w:val="left"/>
        <w:tblLayout w:type="fixed"/>
        <w:tblLook w:firstColumn="1" w:firstRow="1" w:lastColumn="0" w:lastRow="0" w:noHBand="0" w:noVBand="1" w:val="04A0"/>
      </w:tblPr>
      <w:tblGrid>
        <w:gridCol w:w="4961"/>
        <w:gridCol w:w="4961"/>
      </w:tblGrid>
      <w:tr>
        <w:trPr>
          <w:tblHeader w:val="true"/>
        </w:trPr>
        <w:tc>
          <w:tcPr>
            <w:tcW w:type="dxa" w:w="3168"/>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Genehmigungsfeld</w:t>
            </w:r>
          </w:p>
        </w:tc>
        <w:tc>
          <w:tcPr>
            <w:tcW w:type="dxa" w:w="6623"/>
            <w:shd w:fill="0D3068"/>
            <w:tcMar>
              <w:top w:w="95" w:type="dxa"/>
              <w:start w:w="100" w:type="dxa"/>
              <w:bottom w:w="95" w:type="dxa"/>
              <w:end w:w="100" w:type="dxa"/>
            </w:tcMar>
            <w:tcBorders>
              <w:top w:val="single" w:sz="4" w:color="0D3068"/>
              <w:left w:val="single" w:sz="4" w:color="FFFFFF"/>
              <w:bottom w:val="single" w:sz="4" w:color="0D3068"/>
              <w:right w:val="single" w:sz="4" w:color="FFFFFF"/>
            </w:tcBorders>
          </w:tcPr>
          <w:p>
            <w:pPr>
              <w:spacing w:after="0"/>
            </w:pPr>
            <w:r>
              <w:rPr>
                <w:rFonts w:ascii="Arial" w:hAnsi="Arial"/>
                <w:b/>
                <w:color w:val="FFFFFF"/>
                <w:sz w:val="16"/>
              </w:rPr>
              <w:t>Aufzeichnung</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Berichtsgrundlage und Anspruch</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[Einführung der genehmigten Grundlage und genaue Abschlussformulierung]</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Ausschuss für die Offenlegung der Geschäftsführung</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Entscheidung: [ ] Bedingungen: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Unterzeichnung des CFO</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Referenz zur Vertretung: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Unternehmenssekretär / Rechtsprüfer</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Überprüfung der Ansprüche und des Platzierens: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Prüfungskommission / Risiko-Ausschuss</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Entscheidung: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Genehmigung des Verwaltungsrates</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Datum: [ ] Genehmigte Version: [ ] Bedingungen / delegierte Behörde: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Versicherungsbericht</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Anbieter: [ ] Gegenstand / Niveau / Datum: [ ]</w:t>
            </w:r>
          </w:p>
        </w:tc>
      </w:tr>
      <w:tr>
        <w:trPr>
          <w:cantSplit/>
        </w:trPr>
        <w:tc>
          <w:tcPr>
            <w:tcW w:type="dxa" w:w="3168"/>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Veröffentlichungsbericht</w:t>
            </w:r>
          </w:p>
        </w:tc>
        <w:tc>
          <w:tcPr>
            <w:tcW w:type="dxa" w:w="6623"/>
            <w:vAlign w:val="top"/>
            <w:shd w:fill="F5F8FB"/>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Jahresberichtdatum: [ ] Referenzierte Dateien / URLs / Prüfsumme: [ ]</w:t>
            </w:r>
          </w:p>
        </w:tc>
      </w:tr>
      <w:tr>
        <w:trPr>
          <w:cantSplit/>
        </w:trPr>
        <w:tc>
          <w:tcPr>
            <w:tcW w:type="dxa" w:w="3168"/>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Nächste Überprüfung triggers</w:t>
            </w:r>
          </w:p>
        </w:tc>
        <w:tc>
          <w:tcPr>
            <w:tcW w:type="dxa" w:w="6623"/>
            <w:vAlign w:val="top"/>
            <w:shd w:fill="FFFFFF"/>
            <w:tcMar>
              <w:top w:w="80" w:type="dxa"/>
              <w:start w:w="90" w:type="dxa"/>
              <w:bottom w:w="80" w:type="dxa"/>
              <w:end w:w="90" w:type="dxa"/>
            </w:tcMar>
            <w:tcBorders>
              <w:top w:val="single" w:sz="3" w:color="B9CAD9"/>
              <w:left w:val="single" w:sz="3" w:color="B9CAD9"/>
              <w:bottom w:val="single" w:sz="3" w:color="B9CAD9"/>
              <w:right w:val="single" w:sz="3" w:color="B9CAD9"/>
            </w:tcBorders>
          </w:tcPr>
          <w:p>
            <w:pPr>
              <w:spacing w:after="0"/>
            </w:pPr>
            <w:r>
              <w:rPr>
                <w:rFonts w:ascii="Arial" w:hAnsi="Arial"/>
                <w:color w:val="18212B"/>
                <w:sz w:val="16"/>
              </w:rPr>
              <w:t>[Einstellen von Regulierungs-, Standard-, Daten- und Projektaktivierungen]</w:t>
            </w:r>
          </w:p>
        </w:tc>
      </w:tr>
    </w:tbl>
    <w:p>
      <w:pPr>
        <w:spacing w:after="20"/>
      </w:pPr>
    </w:p>
    <w:tbl>
      <w:tblPr>
        <w:tblW w:type="auto" w:w="0"/>
        <w:jc w:val="left"/>
        <w:tblLayout w:type="fixed"/>
        <w:tblLook w:firstColumn="1" w:firstRow="1" w:lastColumn="0" w:lastRow="0" w:noHBand="0" w:noVBand="1" w:val="04A0"/>
      </w:tblPr>
      <w:tblGrid>
        <w:gridCol w:w="9922"/>
      </w:tblGrid>
      <w:tr>
        <w:trPr>
          <w:cantSplit/>
        </w:trPr>
        <w:tc>
          <w:tcPr>
            <w:tcW w:type="dxa" w:w="9792"/>
            <w:shd w:fill="F5F8FB"/>
            <w:tcBorders>
              <w:top w:val="single" w:sz="3" w:color="B9CAD9"/>
              <w:left w:val="single" w:sz="18" w:color="59636E"/>
              <w:bottom w:val="single" w:sz="3" w:color="B9CAD9"/>
              <w:right w:val="single" w:sz="3" w:color="B9CAD9"/>
            </w:tcBorders>
            <w:tcMar>
              <w:top w:w="120" w:type="dxa"/>
              <w:start w:w="150" w:type="dxa"/>
              <w:bottom w:w="120" w:type="dxa"/>
              <w:end w:w="150" w:type="dxa"/>
            </w:tcMar>
          </w:tcPr>
          <w:p>
            <w:pPr>
              <w:spacing w:after="60"/>
            </w:pPr>
            <w:r>
              <w:rPr>
                <w:rFonts w:ascii="Arial" w:hAnsi="Arial"/>
                <w:b/>
                <w:color w:val="59636E"/>
                <w:sz w:val="21"/>
              </w:rPr>
              <w:t>Einschränkung der Endverwendung</w:t>
            </w:r>
          </w:p>
          <w:p>
            <w:pPr>
              <w:spacing w:after="0"/>
            </w:pPr>
            <w:r>
              <w:rPr>
                <w:rFonts w:ascii="Arial" w:hAnsi="Arial"/>
                <w:color w:val="18212B"/>
                <w:sz w:val="19"/>
              </w:rPr>
              <w:t>Dieses Schulungsmaterial stellt weder eine Rechtsberatung noch ein Prüfungsurteil dar und ersetzt nicht die Lektüre der aktuellen offiziellen Standards, der geltenden Rechtsvorschriften und der regulatorischen Regeln. Illustrative Formulierungen und Szenarien müssen an die Fakten des Unternehmens angepasst werden.</w:t>
            </w:r>
          </w:p>
        </w:tc>
      </w:tr>
    </w:tbl>
    <w:p>
      <w:pPr>
        <w:spacing w:after="20"/>
      </w:pPr>
    </w:p>
    <w:sectPr w:rsidR="00FC693F" w:rsidRPr="0006063C" w:rsidSect="00034616">
      <w:headerReference w:type="default" r:id="rId9"/>
      <w:footerReference w:type="default" r:id="rId10"/>
      <w:pgSz w:w="11906" w:h="16838"/>
      <w:pgMar w:top="964" w:right="992" w:bottom="964" w:left="992"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9636E"/>
        <w:sz w:val="16"/>
      </w:rPr>
      <w:t xml:space="preserve">UKSRS1-TEMPLATE-EDITABLE Bewertet 2 August 2026  |  </w:t>
    </w:r>
    <w:r>
      <w:rPr>
        <w:rFonts w:ascii="Arial" w:hAnsi="Arial"/>
        <w:color w:val="59636E"/>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color="4C86B8" w:space="4"/>
      </w:pBdr>
    </w:pPr>
    <w:r>
      <w:rPr>
        <w:rFonts w:ascii="Arial" w:hAnsi="Arial"/>
        <w:b/>
        <w:color w:val="0D3068"/>
        <w:sz w:val="16"/>
      </w:rPr>
      <w:t>LONDON REPORTING ACADEMY  ·  WISSENSZENTRUM  ·  UK SRS S1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Arial" w:hAnsi="Arial"/>
      <w:color w:val="1821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D3068"/>
      <w:sz w:val="3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E5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D306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5963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spacing w:after="140"/>
    </w:pPr>
    <w:rPr>
      <w:rFonts w:ascii="Arial" w:hAnsi="Arial"/>
      <w:i/>
      <w:color w:val="5963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S1 Report Template - Editable Drafting Tool</dc:title>
  <dc:subject/>
  <dc:creator>London Reporting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