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057400" cy="1234440"/>
            <wp:docPr id="1" name="Picture 1" title="London Reporting Academy logo" descr="London Reporting Academy logo."/>
            <wp:cNvGraphicFramePr>
              <a:graphicFrameLocks noChangeAspect="1"/>
            </wp:cNvGraphicFramePr>
            <a:graphic>
              <a:graphicData uri="http://schemas.openxmlformats.org/drawingml/2006/picture">
                <pic:pic>
                  <pic:nvPicPr>
                    <pic:cNvPr id="0" name="lra_logo.png"/>
                    <pic:cNvPicPr/>
                  </pic:nvPicPr>
                  <pic:blipFill>
                    <a:blip r:embed="rId39"/>
                    <a:stretch>
                      <a:fillRect/>
                    </a:stretch>
                  </pic:blipFill>
                  <pic:spPr>
                    <a:xfrm>
                      <a:off x="0" y="0"/>
                      <a:ext cx="2057400" cy="1234440"/>
                    </a:xfrm>
                    <a:prstGeom prst="rect"/>
                  </pic:spPr>
                </pic:pic>
              </a:graphicData>
            </a:graphic>
          </wp:inline>
        </w:drawing>
      </w:r>
    </w:p>
    <w:p>
      <w:pPr>
        <w:spacing w:after="80"/>
        <w:jc w:val="left"/>
      </w:pPr>
      <w:r>
        <w:rPr>
          <w:rFonts w:ascii="Arial" w:hAnsi="Arial"/>
          <w:b/>
          <w:color w:val="173F73"/>
          <w:sz w:val="15"/>
        </w:rPr>
        <w:t>LRA CENTRO DE CONOCIMIENTO · TNFD PAQUETE DE PRODUCCIÓN</w:t>
      </w:r>
    </w:p>
    <w:p>
      <w:pPr>
        <w:pStyle w:val="Title"/>
      </w:pPr>
      <w:r>
        <w:t>TNFD Cuestionario de datos sobre la naturaleza y matriz de pruebas del proveedor</w:t>
      </w:r>
    </w:p>
    <w:p>
      <w:pPr>
        <w:pStyle w:val="Subtitle"/>
      </w:pPr>
      <w:r>
        <w:t>Herramienta de compradores modificable para las solicitudes de datos de naturaleza proporcionadas a los proveedores y a las PYME</w:t>
      </w:r>
    </w:p>
    <w:tbl>
      <w:tblPr>
        <w:tblW w:type="auto" w:w="0"/>
        <w:jc w:val="left"/>
        <w:tblLook w:firstColumn="1" w:firstRow="1" w:lastColumn="0" w:lastRow="0" w:noHBand="0" w:noVBand="1" w:val="04A0"/>
      </w:tblPr>
      <w:tblGrid>
        <w:gridCol w:w="15628"/>
      </w:tblGrid>
      <w:tr>
        <w:tc>
          <w:tcPr>
            <w:tcW w:type="dxa" w:w="15628"/>
            <w:shd w:fill="E7F5F3"/>
            <w:tcBorders>
              <w:top w:val="single" w:sz="6" w:color="157A6E"/>
              <w:left w:val="single" w:sz="12" w:color="157A6E"/>
              <w:bottom w:val="single" w:sz="6" w:color="157A6E"/>
              <w:right w:val="single" w:sz="6" w:color="157A6E"/>
            </w:tcBorders>
          </w:tcPr>
          <w:p>
            <w:pPr>
              <w:spacing w:after="40"/>
            </w:pPr>
            <w:r>
              <w:rPr>
                <w:rFonts w:ascii="Arial" w:hAnsi="Arial"/>
                <w:b/>
                <w:color w:val="157A6E"/>
                <w:sz w:val="18"/>
              </w:rPr>
              <w:t>Control de paquete Identificación del paquete: TNFD-SUP-TOOL-001. El conjunto de fuentes revisado 3 Agosto 2026. Preparación en inglés británico. LRA aprobación técnica y editorial.</w:t>
              <w:br/>
            </w:r>
            <w:r>
              <w:rPr>
                <w:rFonts w:ascii="Arial" w:hAnsi="Arial"/>
                <w:color w:val="253446"/>
                <w:sz w:val="17"/>
              </w:rPr>
              <w:t/>
            </w:r>
          </w:p>
        </w:tc>
      </w:tr>
    </w:tbl>
    <w:p>
      <w:pPr>
        <w:spacing w:after="0"/>
      </w:pPr>
    </w:p>
    <w:p>
      <w:r>
        <w:br w:type="page"/>
      </w:r>
    </w:p>
    <w:p>
      <w:pPr>
        <w:pStyle w:val="Heading2"/>
        <w:keepNext/>
      </w:pPr>
      <w:r>
        <w:t>1¿Cómo usar esta herramienta ?</w:t>
      </w:r>
    </w:p>
    <w:p>
      <w:pPr/>
      <w:r>
        <w:t>Esto es un LRA modelo de ejecución, no oficial TNFD, GRI o ESRS El formulario de evaluación se utiliza primero. Embajar el núcleo mínimo a los proveedores relevantes. Agregar módulos mejorados sólo cuando el sector, la materia prima, la ubicación, la crítica empresarial o las lagunas de evidencia lo justifiquen. reemplazar el texto del titular de puestos, definir el período de presentación de informes y aplicar la revisión legal, de contrataciones, de competencia, de privacidad, de seguridad y de derechos humanos según corresponda.</w:t>
      </w:r>
    </w:p>
    <w:tbl>
      <w:tblPr>
        <w:tblW w:type="auto" w:w="0"/>
        <w:jc w:val="left"/>
        <w:tblLook w:firstColumn="1" w:firstRow="1" w:lastColumn="0" w:lastRow="0" w:noHBand="0" w:noVBand="1" w:val="04A0"/>
      </w:tblPr>
      <w:tblGrid>
        <w:gridCol w:w="15628"/>
      </w:tblGrid>
      <w:tr>
        <w:tc>
          <w:tcPr>
            <w:tcW w:type="dxa" w:w="15628"/>
            <w:shd w:fill="FFF4D8"/>
            <w:tcBorders>
              <w:top w:val="single" w:sz="6" w:color="9A6B00"/>
              <w:left w:val="single" w:sz="12" w:color="9A6B00"/>
              <w:bottom w:val="single" w:sz="6" w:color="9A6B00"/>
              <w:right w:val="single" w:sz="6" w:color="9A6B00"/>
            </w:tcBorders>
          </w:tcPr>
          <w:p>
            <w:pPr>
              <w:spacing w:after="40"/>
            </w:pPr>
            <w:r>
              <w:rPr>
                <w:rFonts w:ascii="Arial" w:hAnsi="Arial"/>
                <w:b/>
                <w:color w:val="9A6B00"/>
                <w:sz w:val="18"/>
              </w:rPr>
              <w:t>La regla de proporcionalidad No requiere una SME Para calcular una huella de biodiversidad o recopilar datos a nivel de parcela, a menos que el comprador pueda explicar la decisión, el alcance, el método, el soporte y el uso.</w:t>
              <w:br/>
            </w:r>
            <w:r>
              <w:rPr>
                <w:rFonts w:ascii="Arial" w:hAnsi="Arial"/>
                <w:color w:val="253446"/>
                <w:sz w:val="17"/>
              </w:rPr>
              <w:t/>
            </w:r>
          </w:p>
        </w:tc>
      </w:tr>
    </w:tbl>
    <w:p>
      <w:pPr>
        <w:spacing w:after="0"/>
      </w:pPr>
    </w:p>
    <w:p>
      <w:pPr>
        <w:pStyle w:val="Heading2"/>
        <w:keepNext/>
      </w:pPr>
      <w:r>
        <w:t>2- El control del comprador y la decisión del módulo</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Proveedor / categoría</w:t>
            </w:r>
          </w:p>
        </w:tc>
        <w:tc>
          <w:tcPr>
            <w:tcW w:type="dxa" w:w="97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Productos o materias primas</w:t>
            </w:r>
          </w:p>
        </w:tc>
        <w:tc>
          <w:tcPr>
            <w:tcW w:type="dxa" w:w="756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Actividad</w:t>
            </w:r>
          </w:p>
        </w:tc>
        <w:tc>
          <w:tcPr>
            <w:tcW w:type="dxa" w:w="827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País / región</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Gasto / volumen</w:t>
            </w:r>
          </w:p>
        </w:tc>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Razón de prioridad natural</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Modulo requerido</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Propietario</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97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756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82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[Sector / productos básicos / ubicación / incidente / importancia / brecha]</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[Corea / agua / tierra / productos básicos / contaminación / derechos / objetivos]</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97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756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827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97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756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82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r>
    </w:tbl>
    <w:p>
      <w:pPr>
        <w:spacing w:after="0"/>
      </w:pPr>
    </w:p>
    <w:p>
      <w:pPr>
        <w:pStyle w:val="Heading2"/>
        <w:keepNext/>
      </w:pPr>
      <w:r>
        <w:t>3Instrucciones del proveedor</w:t>
      </w:r>
    </w:p>
    <w:p>
      <w:pPr>
        <w:pStyle w:val="ListBullet"/>
      </w:pPr>
      <w:r>
        <w:t>Informe sobre el período: [insertar período]. Indique dónde la respuesta se refiere a un período diferente.</w:t>
      </w:r>
    </w:p>
    <w:p>
      <w:pPr>
        <w:pStyle w:val="ListBullet"/>
      </w:pPr>
      <w:r>
        <w:t>Utilice la actividad y el lugar de producción pertinentes para el producto o servicio suministrado, no sólo la sede legal.</w:t>
      </w:r>
    </w:p>
    <w:p>
      <w:pPr>
        <w:pStyle w:val="ListBullet"/>
      </w:pPr>
      <w:r>
        <w:t>Seleccione un estado de respuesta para cada campo: medido, estimado, modelado, desconocido, no aplicable o confidencial.</w:t>
      </w:r>
    </w:p>
    <w:p>
      <w:pPr>
        <w:pStyle w:val="ListBullet"/>
      </w:pPr>
      <w:r>
        <w:t>Identifique la fuente de pruebas y el período de validez. No cargue documentos ambientales no relacionados.</w:t>
      </w:r>
    </w:p>
    <w:p>
      <w:pPr>
        <w:pStyle w:val="ListBullet"/>
      </w:pPr>
      <w:r>
        <w:t>Cuando las coordenadas exactas sean confidenciales, seleccione una opción de acceso restringido o de agregación y explique la razón.</w:t>
      </w:r>
    </w:p>
    <w:p>
      <w:pPr>
        <w:pStyle w:val="ListBullet"/>
      </w:pPr>
      <w:r>
        <w:t>Identificar cualquier brecha de datos y proponer una fecha realista de mejora o apoyo necesario.</w:t>
      </w:r>
    </w:p>
    <w:p>
      <w:pPr>
        <w:pStyle w:val="Heading2"/>
        <w:keepNext/>
      </w:pPr>
      <w:r>
        <w:t>4. Cuestionario mínimo de base</w:t>
      </w:r>
    </w:p>
    <w:tbl>
      <w:tblPr>
        <w:tblStyle w:val="TableGrid"/>
        <w:tblW w:type="auto" w:w="0"/>
        <w:jc w:val="left"/>
        <w:tblLayout w:type="fixed"/>
        <w:tblLook w:firstColumn="1" w:firstRow="1" w:lastColumn="0" w:lastRow="0" w:noHBand="0" w:noVBand="1" w:val="04A0"/>
      </w:tblPr>
      <w:tblGrid>
        <w:gridCol w:w="2605"/>
        <w:gridCol w:w="2605"/>
        <w:gridCol w:w="2605"/>
        <w:gridCol w:w="2605"/>
        <w:gridCol w:w="2605"/>
        <w:gridCol w:w="2605"/>
      </w:tblGrid>
      <w:tr>
        <w:trPr>
          <w:tblHeader w:val="true"/>
          <w:cantSplit/>
        </w:trPr>
        <w:tc>
          <w:tcPr>
            <w:tcW w:type="dxa" w:w="3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ID</w:t>
            </w:r>
          </w:p>
        </w:tc>
        <w:tc>
          <w:tcPr>
            <w:tcW w:type="dxa" w:w="8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Campo de trabajo</w:t>
            </w:r>
          </w:p>
        </w:tc>
        <w:tc>
          <w:tcPr>
            <w:tcW w:type="dxa" w:w="20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Pronto del proveedor</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Tipo de respuesta</w:t>
            </w:r>
          </w:p>
        </w:tc>
        <w:tc>
          <w:tcPr>
            <w:tcW w:type="dxa" w:w="1475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Pruebas sugeridas</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Respuesta</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C01</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Entidad y instalación</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En el caso de las entidades jurídicas, las entidades operativas y las instalaciones o actividades que suministran al comprador.</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El texto</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Contrato, proveedor principal, lista de instalaciones</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C02</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Producto / servicio</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Productos, servicios y materias primas o materiales naturales principales suministrados.</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Texto / lista</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Especificación, expediente de materiales, factura</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C03</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Actividad</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Produce, cultiva, extrae, procesa, comercializa, transporta, construye, opera o presta servicios.</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Seleccionar / texto</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Licencia de empresa, descripción del proceso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C04</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Lugar de producción</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País y región; coordenadas o polígonos, cuando estén disponibles y sean pertinentes.</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Localización + confianza</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Mapa, registro, GPS, dirección codificada geográficamente</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C05</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Origen / trazabilidad</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Para los materiales comercializados o transformados, origen conocido y porcentaje cubierto más lejano.</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País / región / sitio / parcela / desconocido</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Cadena de custodia, lista de proveedores, saldo en masa</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C06</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Interfaz de agua</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Dependencia material de la disponibilidad, calidad, flujo, inundación o ecosistemas del agua o su impacto.</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Sí / no / desconocido + explicación</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Permiso, medidor, pantalla de cuenca, equilibrio del agua</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C07</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Interfaz entre tierra y biodiversidad</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El uso de la tierra, el hábitat, los suelos, las especies, los servicios del ecosistema o la relevancia de la ubicación sensible.</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Sí / no / desconocido + explicación</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Plan de sitio, encuesta, detección remota, auditoría</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C08</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Control y permisos</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Las políticas, procedimientos, permisos y certificaciones pertinentes y su alcance y vencimiento.</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Lista de los productos</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Documentos controlados actuales</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C09</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Incidentes y quejas</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Incidentes materiales, ejecución, quejas no resueltas o reparación en el período.</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Sí / no / restringido + explicación</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Registro de incidentes, registro del regulador, registro de quejas</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C10</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Metricas y objetivos</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Metricas o objetivos relacionados con la naturaleza utilizados para la actividad o producto suministrado.</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Texto / numérico</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Metodología, línea de base, aprobación del objetivo, expediente de progreso</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C11</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Estatus de la evidencia</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Para obtener respuestas materiales, identifique la fuente, el período y si se mide, estima o se modela.</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Registro de pruebas</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Identificación del documento / URL / propietario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C12</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Las lagunas de datos</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Los campos no disponibles, por qué, proxy provisional y fecha de mejora esperada.</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Plan de la brecha</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Plan de mejora aprobado</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C13</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Confidencialidad</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Los campos que requieren un acceso restringido, una mascarada, una agregación o una verificación por terceros.</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Seleccione + razón</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NDA, acuerdo de intercambio de datos, control de acceso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C14</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Contacto responsable</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Rollo designado responsable de las respuestas y el seguimiento.</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Nombre / cargo / correo electrónico</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Aprobación de gestión</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[Respuesta del proveedor]</w:t>
            </w:r>
          </w:p>
        </w:tc>
      </w:tr>
    </w:tbl>
    <w:p>
      <w:pPr>
        <w:spacing w:after="0"/>
      </w:pPr>
    </w:p>
    <w:p>
      <w:pPr>
        <w:pStyle w:val="Heading2"/>
        <w:keepNext/>
      </w:pPr>
      <w:r>
        <w:t>5- Modulo mejorado de productos básicos y trazabilidad</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80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Pregunta de la Comisión</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Respuesta</w:t>
            </w:r>
          </w:p>
        </w:tc>
        <w:tc>
          <w:tcPr>
            <w:tcW w:type="dxa" w:w="230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Prueba / limitación</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COM01</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Mercancías o materiales naturales y volumen anual suministrados al comprador.</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COM02</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Nivel de origen: país, región, cuenca, punto de adquisición, granja, mina, bosque, pesca, instalación o parcela.</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COM03</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Porcentaje del volumen suministrado cubierto por cada nivel de origen y modelo de cadena de custodia.</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COM04</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Data y evidencia de la fecha límite conocida para la conversión, la deforestación, la extracción, la cosecha o el cambio de uso del suelo.</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COM05</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Sistema de certificación o garantía, alcance, titular del certificado, lugares, validez, estado de auditoría y exclusiones.</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COM06</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Plan de mejora de la trazabilidad con origen desconocido o mixto, proxy utilizado y limitado en el tiempo.</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r>
    </w:tbl>
    <w:p>
      <w:pPr>
        <w:spacing w:after="0"/>
      </w:pPr>
    </w:p>
    <w:p>
      <w:pPr>
        <w:pStyle w:val="Heading2"/>
        <w:keepNext/>
      </w:pPr>
      <w:r>
        <w:t>6- Modulo de agua mejorado</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7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Pregunta de la Comisión</w:t>
            </w:r>
          </w:p>
        </w:tc>
        <w:tc>
          <w:tcPr>
            <w:tcW w:type="dxa" w:w="12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Unidad / respuesta</w:t>
            </w:r>
          </w:p>
        </w:tc>
        <w:tc>
          <w:tcPr>
            <w:tcW w:type="dxa" w:w="230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Prueba / limitación</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W01</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Fuente de agua, cuenca o cuenca y restricción estacional.</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[Fuente / cuenca]</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[Mapa / permiso / pantalla]</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W02</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Retiro y consumo para la instalación o producto pertinente.</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[m3 y período]</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[Metro / método de estimación]</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W03</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Volumen de descarga, destino, parámetros de calidad y excesiones.</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[m3 / parámetro]</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[Permiso / laboratorio / incidente]</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W04</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Dependencia material de la calidad del agua, la regulación de las inundaciones o la condición del ecosistema.</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[Explicar]</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[Evaluación del riesgo / umbral operativo]</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W05</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Los usuarios, comunidades o ecosistemas afectados y el proceso de participación o reclamación.</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[Explique / restringido]</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[Registro de compromiso / queja]</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W06</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Objetivo de agua, línea de base, acciones, progreso y evidencia de resultados.</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[Ficha objetivo / monitoreo]</w:t>
            </w:r>
          </w:p>
        </w:tc>
      </w:tr>
    </w:tbl>
    <w:p>
      <w:pPr>
        <w:spacing w:after="0"/>
      </w:pPr>
    </w:p>
    <w:p>
      <w:pPr>
        <w:pStyle w:val="Heading2"/>
        <w:keepNext/>
      </w:pPr>
      <w:r>
        <w:t>7- Mejorar el terreno, la biodiversidad y el módulo comunitario</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6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Pregunta de la Comisión</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Respuesta</w:t>
            </w:r>
          </w:p>
        </w:tc>
        <w:tc>
          <w:tcPr>
            <w:tcW w:type="dxa" w:w="24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Prueba / limitación</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BIO01</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Coordenadas del sitio o polígono y área total controlada, perturbada y rehabilitada.</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[SIG / plan de sitio]</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BIO02</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El uso de la tierra anterior y actual, el tipo de ecosistema y los cambios materiales en el período de información.</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[Línea de base / teledetección / encuesta]</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BIO03</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Proximidad o interfaz con las zonas protegidas, ecosistemas de alta integridad o en rápida disminución, áreas importantes para la biodiversidad o tensión hídrica.</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 Dataset, versión, amortiguador y escala]</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BIO04</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Materiales directos: uso terrestre o marino, extracción de recursos, contaminación, clima o especies invasoras.</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[Datos operativos y medioambientales]</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BIO05</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Las dependencias materiales del ecosistema y los servicios y la evidencia de cambios en la disponibilidad o calidad.</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[Evaluación de la dependencia/monitoreo]</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BIO06</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Comunidades afectadas, pueblos indígenas o comunidades locales, derechos aplicables y proceso de participación.</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 / restringido]</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[Evaluación de derechos / participación / CIPF, cuando proceda]</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BIO07</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Evitar, minimizar, restaurar, rehabilitar u otras reacciones y efectos residuales.</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[Plan, presupuesto, seguimiento, aprobación]</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BIO08</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Metrica de referencia, objetivo, condición o resultado, método, progreso y limitaciones.</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[Completo]</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[Método/Informe especializado]</w:t>
            </w:r>
          </w:p>
        </w:tc>
      </w:tr>
    </w:tbl>
    <w:p>
      <w:pPr>
        <w:spacing w:after="0"/>
      </w:pPr>
    </w:p>
    <w:p>
      <w:pPr>
        <w:pStyle w:val="Heading2"/>
        <w:keepNext/>
      </w:pPr>
      <w:r>
        <w:t>8Matriz de evaluación de la evidencia</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Campo / reclamo</w:t>
            </w:r>
          </w:p>
        </w:tc>
        <w:tc>
          <w:tcPr>
            <w:tcW w:type="dxa" w:w="54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Identificación de la prueba</w:t>
            </w:r>
          </w:p>
        </w:tc>
        <w:tc>
          <w:tcPr>
            <w:tcW w:type="dxa" w:w="46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Nivel 1–4</w:t>
            </w:r>
          </w:p>
        </w:tc>
        <w:tc>
          <w:tcPr>
            <w:tcW w:type="dxa" w:w="54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Periodo de la ejecución</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Ámbito de aplicación y ubicación</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Método / garantía</w:t>
            </w:r>
          </w:p>
        </w:tc>
        <w:tc>
          <w:tcPr>
            <w:tcW w:type="dxa" w:w="12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Conclusión del revisor</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Acción</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[Período]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[Aceptar / calificar / rechazar]</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[Acción]</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54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[Período]</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[Aceptar / calificar / rechazar]</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[Acción]</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[Período]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[Aceptar / calificar / rechazar]</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[Acción]</w:t>
            </w:r>
          </w:p>
        </w:tc>
      </w:tr>
    </w:tbl>
    <w:p>
      <w:pPr>
        <w:spacing w:after="0"/>
      </w:pPr>
    </w:p>
    <w:tbl>
      <w:tblPr>
        <w:tblW w:type="auto" w:w="0"/>
        <w:jc w:val="left"/>
        <w:tblLook w:firstColumn="1" w:firstRow="1" w:lastColumn="0" w:lastRow="0" w:noHBand="0" w:noVBand="1" w:val="04A0"/>
      </w:tblPr>
      <w:tblGrid>
        <w:gridCol w:w="15628"/>
      </w:tblGrid>
      <w:tr>
        <w:tc>
          <w:tcPr>
            <w:tcW w:type="dxa" w:w="15628"/>
            <w:shd w:fill="EAF3F8"/>
            <w:tcBorders>
              <w:top w:val="single" w:sz="6" w:color="2673A9"/>
              <w:left w:val="single" w:sz="12" w:color="2673A9"/>
              <w:bottom w:val="single" w:sz="6" w:color="2673A9"/>
              <w:right w:val="single" w:sz="6" w:color="2673A9"/>
            </w:tcBorders>
          </w:tcPr>
          <w:p>
            <w:pPr>
              <w:spacing w:after="40"/>
            </w:pPr>
            <w:r>
              <w:rPr>
                <w:rFonts w:ascii="Arial" w:hAnsi="Arial"/>
                <w:b/>
                <w:color w:val="2673A9"/>
                <w:sz w:val="18"/>
              </w:rPr>
              <w:t>Interpretación de la prueba en el nivel de prueba 1: auto-declaración. nivel 2El nivel de la información: 3: pruebas geográficas, de terceros o de autoridades. 4• la verificación de los resultados, el sitio, las materias primas o los resultados.</w:t>
              <w:br/>
            </w:r>
            <w:r>
              <w:rPr>
                <w:rFonts w:ascii="Arial" w:hAnsi="Arial"/>
                <w:color w:val="253446"/>
                <w:sz w:val="17"/>
              </w:rPr>
              <w:t/>
            </w:r>
          </w:p>
        </w:tc>
      </w:tr>
    </w:tbl>
    <w:p>
      <w:pPr>
        <w:spacing w:after="0"/>
      </w:pPr>
    </w:p>
    <w:p>
      <w:pPr>
        <w:pStyle w:val="Heading2"/>
        <w:keepNext/>
      </w:pPr>
      <w:r>
        <w:t>9Confidencialidad y registro de acceso</w:t>
      </w:r>
    </w:p>
    <w:tbl>
      <w:tblPr>
        <w:tblStyle w:val="TableGrid"/>
        <w:tblW w:type="auto" w:w="0"/>
        <w:jc w:val="left"/>
        <w:tblLayout w:type="fixed"/>
        <w:tblLook w:firstColumn="1" w:firstRow="1" w:lastColumn="0" w:lastRow="0" w:noHBand="0" w:noVBand="1" w:val="04A0"/>
      </w:tblPr>
      <w:tblGrid>
        <w:gridCol w:w="2233"/>
        <w:gridCol w:w="2233"/>
        <w:gridCol w:w="2233"/>
        <w:gridCol w:w="2233"/>
        <w:gridCol w:w="2233"/>
        <w:gridCol w:w="2233"/>
        <w:gridCol w:w="223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Campo de datos</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Clasificación</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Razón de la decisión</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Usuarios autorizados</w:t>
            </w:r>
          </w:p>
        </w:tc>
        <w:tc>
          <w:tcPr>
            <w:tcW w:type="dxa" w:w="1007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Almacenamiento / transferencia</w:t>
            </w:r>
          </w:p>
        </w:tc>
        <w:tc>
          <w:tcPr>
            <w:tcW w:type="dxa" w:w="6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Retener el producto</w:t>
            </w:r>
          </w:p>
        </w:tc>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Tratamiento público</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[Publicidad / comprador restringido / terceros / enmascarados / no disponibles]</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[Funciones]</w:t>
            </w:r>
          </w:p>
        </w:tc>
        <w:tc>
          <w:tcPr>
            <w:tcW w:type="dxa" w:w="100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[Sistema / sala de datos]</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[Período]</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[Aggregado / método solamente / no divulgación]</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07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6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r>
    </w:tbl>
    <w:p>
      <w:pPr>
        <w:spacing w:after="0"/>
      </w:pPr>
    </w:p>
    <w:p>
      <w:pPr>
        <w:pStyle w:val="Heading2"/>
        <w:keepNext/>
      </w:pPr>
      <w:r>
        <w:t>10Plan de mejora del proveedor</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Identificación de la brecha</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Materiales / campo</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Estado actual</w:t>
            </w:r>
          </w:p>
        </w:tc>
        <w:tc>
          <w:tcPr>
            <w:tcW w:type="dxa" w:w="8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Proxy interino</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Acción del proveedor</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Apoyo al comprador</w:t>
            </w:r>
          </w:p>
        </w:tc>
        <w:tc>
          <w:tcPr>
            <w:tcW w:type="dxa" w:w="6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Fecha de vencimiento</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Escalamiento / decisión</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[Inconcierto / estimado / incompleto]</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[Fecha]</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6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[Fecha]</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[Fecha]</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[Completo]</w:t>
            </w:r>
          </w:p>
        </w:tc>
      </w:tr>
    </w:tbl>
    <w:p>
      <w:pPr>
        <w:spacing w:after="0"/>
      </w:pPr>
    </w:p>
    <w:p>
      <w:pPr>
        <w:pStyle w:val="Heading2"/>
        <w:keepNext/>
      </w:pPr>
      <w:r>
        <w:t>11- Revisar y firmar el comprador</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18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Área de revisión</w:t>
            </w:r>
          </w:p>
        </w:tc>
        <w:tc>
          <w:tcPr>
            <w:tcW w:type="dxa" w:w="21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Decisión / prueba</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Propietario</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Fecha de la fecha</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Clasificación y selección de módulos</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[Approved / revisado]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[Nombre / papel]</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[Fecha]</w:t>
            </w:r>
          </w:p>
        </w:tc>
      </w:tr>
      <w:tr>
        <w:trPr>
          <w:cantSplit/>
        </w:trPr>
        <w:tc>
          <w:tcPr>
            <w:tcW w:type="dxa" w:w="18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Plausibilidad técnica y calidad de los datos</w:t>
            </w:r>
          </w:p>
        </w:tc>
        <w:tc>
          <w:tcPr>
            <w:tcW w:type="dxa" w:w="21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[Aplicado / calificado / rechazado]</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[Nombre / papel]</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[Fecha]</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Revisión jurídica, de la confidencialidad y de los derechos</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[Approved / condiciones]</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[Nombre / papel]</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[Fecha]</w:t>
            </w:r>
          </w:p>
        </w:tc>
      </w:tr>
      <w:tr>
        <w:trPr>
          <w:cantSplit/>
        </w:trPr>
        <w:tc>
          <w:tcPr>
            <w:tcW w:type="dxa" w:w="18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Decisión de adquisición y plan de mejora</w:t>
            </w:r>
          </w:p>
        </w:tc>
        <w:tc>
          <w:tcPr>
            <w:tcW w:type="dxa" w:w="21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[Continuar / Engañar / Condicionar / Suspendiar / Colaborar]</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[Nombre / papel]</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[Fecha]</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Uso de la información y los reclamos</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[Framas permitidas / limitación / no uso público]</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[Nombre / papel]</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[Fecha]</w:t>
            </w:r>
          </w:p>
        </w:tc>
      </w:tr>
    </w:tbl>
    <w:p>
      <w:pPr>
        <w:spacing w:after="0"/>
      </w:pPr>
    </w:p>
    <w:p>
      <w:pPr>
        <w:pStyle w:val="Heading2"/>
        <w:keepNext/>
      </w:pPr>
      <w:r>
        <w:t>12. Notas de mapeo marco</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Familia de datos</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TNFD</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GRI 101</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ESRS Cuidado</w:t>
            </w:r>
          </w:p>
        </w:tc>
      </w:tr>
      <w:tr>
        <w:trPr>
          <w:cantSplit/>
        </w:trPr>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Actividad, mercancía y ubicación</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Evaluación de la ubicación, prioridad y localización sensible.</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Sitios y productos y servicios de la cadena de suministro con impactos significativos.</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Mapa sólo para los que sean aplicables legalmente ESRS las conclusiones de materialidad de la versión y de la entidad.</w:t>
            </w:r>
          </w:p>
        </w:tc>
      </w:tr>
      <w:tr>
        <w:trPr>
          <w:cantSplit/>
        </w:trPr>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Dependencias, impactos y estado</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Evaluar y el camino de DIRO.</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Los factores directos, los cambios en la biodiversidad y los servicios ecosistémicos.</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La evidencia común no establece por sí misma la doble materialidad.</w:t>
            </w:r>
          </w:p>
        </w:tc>
      </w:tr>
      <w:tr>
        <w:trPr>
          <w:cantSplit/>
        </w:trPr>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Control, incidentes y participación</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Gestión de riesgos e impactos, gobernanza C y respuestas.</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Gestión de los impactos y pruebas sobre las partes interesadas.</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Los requisitos legales, de cadena de valor y de puntos de datos siguen siendo específicos del marco.</w:t>
            </w:r>
          </w:p>
        </w:tc>
      </w:tr>
      <w:tr>
        <w:trPr>
          <w:cantSplit/>
        </w:trPr>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Metricas, objetivos y limitaciones de datos</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Metricas y objetivos y limitaciones de divulgación.</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Datos y limitaciones primarios, secundarios o modelados.</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Verificar el período de presentación de informes, las disposiciones transitorias y el estado vigente.</w:t>
            </w:r>
          </w:p>
        </w:tc>
      </w:tr>
    </w:tbl>
    <w:p>
      <w:pPr>
        <w:spacing w:after="0"/>
      </w:pPr>
    </w:p>
    <w:p>
      <w:pPr>
        <w:pStyle w:val="Heading2"/>
        <w:keepNext/>
      </w:pPr>
      <w:r>
        <w:t>13.Estado y limitaciones de las herramientas</w:t>
      </w:r>
    </w:p>
    <w:p>
      <w:pPr/>
      <w:r>
        <w:t>Versión 1.0. Revisado el 3 de agosto de 2026. Esta plantilla es una ayuda educativa y de implementación de LRA. No es un cuestionario oficial de TNFD, GRI o ESRS ni acredita el cumplimiento del proveedor o del comprador. Adáptela al sector, la ubicación, los derechos contractuales, la legislación aplicable, la política de contratación, la protección de datos, el derecho de la competencia, la diligencia debida en materia de derechos humanos y el período de presentación de información.</w:t>
      </w:r>
    </w:p>
    <w:sectPr w:rsidR="00FC693F" w:rsidRPr="0006063C" w:rsidSect="00034616">
      <w:headerReference w:type="default" r:id="rId9"/>
      <w:footerReference w:type="default" r:id="rId10"/>
      <w:headerReference w:type="first" r:id="rId22"/>
      <w:footerReference w:type="first" r:id="rId23"/>
      <w:pgSz w:w="16838" w:h="11906" w:orient="landscape"/>
      <w:pgMar w:top="749" w:right="605" w:bottom="749" w:left="605" w:header="198" w:footer="19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B7280"/>
        <w:sz w:val="13"/>
      </w:rPr>
      <w:t xml:space="preserve">TNFD-SUP-TOOL-001  ♬ Revisado 3 Agosto 2026  |  </w:t>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color w:val="173F73"/>
        <w:sz w:val="13"/>
      </w:rPr>
      <w:t>LONDON REPORTING ACADEMY  ·  CENTRO DE CONOCIMIENTO  ·  TNFD HERRAMIENTA PARA PROVEEDORES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9" w:lineRule="auto"/>
    </w:pPr>
    <w:rPr>
      <w:rFonts w:ascii="Arial" w:hAnsi="Arial"/>
      <w:color w:val="20293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14396D"/>
      <w:sz w:val="3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14396D"/>
      <w:sz w:val="25"/>
    </w:rPr>
  </w:style>
  <w:style w:type="paragraph" w:styleId="Heading4">
    <w:name w:val="heading 4"/>
    <w:basedOn w:val="Normal"/>
    <w:next w:val="Normal"/>
    <w:link w:val="Heading4Char"/>
    <w:uiPriority w:val="9"/>
    <w:semiHidden/>
    <w:unhideWhenUsed/>
    <w:qFormat/>
    <w:rsid w:val="00FC693F"/>
    <w:pPr>
      <w:keepNext/>
      <w:keepLines/>
      <w:spacing w:before="200" w:after="80"/>
      <w:outlineLvl w:val="3"/>
    </w:pPr>
    <w:rPr>
      <w:rFonts w:asciiTheme="majorHAnsi" w:eastAsiaTheme="majorEastAsia" w:hAnsiTheme="majorHAnsi" w:cstheme="majorBidi" w:ascii="Arial" w:hAnsi="Arial"/>
      <w:b/>
      <w:bCs/>
      <w:i/>
      <w:iCs/>
      <w:color w:val="2F7DBD"/>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0"/>
      <w:contextualSpacing/>
    </w:pPr>
    <w:rPr>
      <w:rFonts w:asciiTheme="majorHAnsi" w:eastAsiaTheme="majorEastAsia" w:hAnsiTheme="majorHAnsi" w:cstheme="majorBidi" w:ascii="Arial" w:hAnsi="Arial"/>
      <w:b/>
      <w:color w:val="14396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b w:val="0"/>
      <w:i/>
      <w:iCs/>
      <w:color w:val="5D6978"/>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olor w:val="202936"/>
      <w:sz w:val="20"/>
    </w:rPr>
  </w:style>
  <w:style w:type="paragraph" w:styleId="ListBullet2">
    <w:name w:val="List Bullet 2"/>
    <w:basedOn w:val="Normal"/>
    <w:uiPriority w:val="99"/>
    <w:unhideWhenUsed/>
    <w:rsid w:val="00326F90"/>
    <w:pPr>
      <w:numPr>
        <w:numId w:val="2"/>
      </w:numPr>
      <w:spacing w:after="60"/>
      <w:contextualSpacing/>
    </w:pPr>
    <w:rPr>
      <w:rFonts w:ascii="Arial" w:hAnsi="Arial"/>
      <w:color w:val="202936"/>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rial" w:hAnsi="Arial"/>
      <w:color w:val="202936"/>
      <w:sz w:val="20"/>
    </w:rPr>
  </w:style>
  <w:style w:type="paragraph" w:styleId="ListNumber2">
    <w:name w:val="List Number 2"/>
    <w:basedOn w:val="Normal"/>
    <w:uiPriority w:val="99"/>
    <w:unhideWhenUsed/>
    <w:rsid w:val="0029639D"/>
    <w:pPr>
      <w:numPr>
        <w:numId w:val="6"/>
      </w:numPr>
      <w:spacing w:after="60"/>
      <w:contextualSpacing/>
    </w:pPr>
    <w:rPr>
      <w:rFonts w:ascii="Arial" w:hAnsi="Arial"/>
      <w:color w:val="202936"/>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keepNext w:val="0"/>
      <w:spacing w:after="140"/>
    </w:pPr>
    <w:rPr>
      <w:rFonts w:ascii="Arial" w:hAnsi="Arial"/>
      <w:i/>
      <w:color w:val="5D6978"/>
      <w:sz w:val="17"/>
    </w:rPr>
  </w:style>
  <w:style w:type="paragraph" w:customStyle="1" w:styleId="LRAAnswer">
    <w:name w:val="LRA Answer"/>
    <w:basedOn w:val="Normal"/>
    <w:pPr>
      <w:spacing w:after="100" w:line="259" w:lineRule="auto"/>
    </w:pPr>
    <w:rPr>
      <w:rFonts w:ascii="Arial" w:hAnsi="Arial"/>
      <w:b w:val="0"/>
      <w:color w:val="202936"/>
      <w:sz w:val="21"/>
    </w:rPr>
  </w:style>
  <w:style w:type="paragraph" w:customStyle="1" w:styleId="LRASmall">
    <w:name w:val="LRA Small"/>
    <w:basedOn w:val="Normal"/>
    <w:pPr>
      <w:spacing w:after="60"/>
    </w:pPr>
    <w:rPr>
      <w:rFonts w:ascii="Arial" w:hAnsi="Arial"/>
      <w:color w:val="5D6978"/>
      <w:sz w:val="17"/>
    </w:rPr>
  </w:style>
  <w:style w:type="paragraph" w:customStyle="1" w:styleId="LRASource">
    <w:name w:val="LRA Source"/>
    <w:basedOn w:val="Normal"/>
    <w:pPr>
      <w:spacing w:after="80"/>
      <w:ind w:left="259" w:hanging="259"/>
    </w:pPr>
    <w:rPr>
      <w:rFonts w:ascii="Arial" w:hAnsi="Arial"/>
      <w:color w:val="20293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3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TNFD Supplier Nature Data Questionnaire and Evidence Matrix</dc:title>
  <dc:subject>Editable supplier nature-data questionnaire, evidence matrix, confidentiality controls and improvement plan.</dc:subject>
  <dc:creator>London Reporting Academy</dc:creator>
  <cp:keywords>TNFD, nature-related disclosure, LEAP, sector guidance, London Reporting Academy</cp:keywords>
  <dc:description>Prepared and reviewed to source set current at 3 August 2026.</dc:description>
  <cp:lastModifiedBy>London Reporting Academy</cp:lastModifiedBy>
  <cp:revision>1</cp:revision>
  <dcterms:created xsi:type="dcterms:W3CDTF">2013-12-23T23:15:00Z</dcterms:created>
  <dcterms:modified xsi:type="dcterms:W3CDTF">2013-12-23T23:15:00Z</dcterms:modified>
  <cp:category/>
</cp:coreProperties>
</file>