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trHeight w:val="4706" w:hRule="atLeast"/>
        </w:trPr>
        <w:tc>
          <w:tcPr>
            <w:tcW w:type="dxa" w:w="10036"/>
            <w:shd w:fill="173F65"/>
            <w:tcMar>
              <w:top w:w="420" w:type="dxa"/>
              <w:start w:w="420" w:type="dxa"/>
              <w:bottom w:w="380" w:type="dxa"/>
              <w:end w:w="420" w:type="dxa"/>
            </w:tcMar>
          </w:tcPr>
          <w:p>
            <w:pPr>
              <w:spacing w:before="0" w:after="160"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00000" cy="387624"/>
                  <wp:docPr id="1" name="Picture 1" descr="London Reporting Academy logo" title="London Reporting Academy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RA_logo_white_pane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876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320" w:after="160" w:line="240" w:lineRule="auto"/>
            </w:pPr>
            <w:r>
              <w:rPr>
                <w:rFonts w:ascii="Lato" w:hAnsi="Lato" w:eastAsia="Lato"/>
                <w:b/>
                <w:color w:val="FFFFFF"/>
                <w:sz w:val="50"/>
              </w:rPr>
              <w:t>UK SRS S2 Modelo de información sobre el informe anual</w:t>
            </w:r>
          </w:p>
          <w:p>
            <w:pPr>
              <w:spacing w:before="100" w:after="0" w:line="259" w:lineRule="auto"/>
            </w:pPr>
            <w:r>
              <w:rPr>
                <w:rFonts w:ascii="Lato" w:hAnsi="Lato" w:eastAsia="Lato"/>
                <w:color w:val="DCE9F5"/>
                <w:sz w:val="26"/>
              </w:rPr>
              <w:t>Estructura editable y instrucciones de redacción para la base de preparación, cuatro pilares, escenarios, GHG, efectos financieros, juicios, disposiciones, referencias cruzadas y aprobación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c>
          <w:tcPr>
            <w:tcW w:type="dxa" w:w="2381"/>
            <w:shd w:fill="EAF1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Identificación del artículo</w:t>
            </w:r>
          </w:p>
        </w:tc>
        <w:tc>
          <w:tcPr>
            <w:tcW w:type="dxa" w:w="7427"/>
            <w:shd w:fill="FFFFF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UKSRS-S2-TPL-001</w:t>
            </w:r>
          </w:p>
        </w:tc>
      </w:tr>
      <w:tr>
        <w:tc>
          <w:tcPr>
            <w:tcW w:type="dxa" w:w="2381"/>
            <w:shd w:fill="DDEB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Tipo de publicación</w:t>
            </w:r>
          </w:p>
        </w:tc>
        <w:tc>
          <w:tcPr>
            <w:tcW w:type="dxa" w:w="7427"/>
            <w:shd w:fill="F3F5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Modelo de informe práctico</w:t>
            </w:r>
          </w:p>
        </w:tc>
      </w:tr>
      <w:tr>
        <w:tc>
          <w:tcPr>
            <w:tcW w:type="dxa" w:w="2381"/>
            <w:shd w:fill="EAF1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Público primario</w:t>
            </w:r>
          </w:p>
        </w:tc>
        <w:tc>
          <w:tcPr>
            <w:tcW w:type="dxa" w:w="7427"/>
            <w:shd w:fill="FFFFF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UK Equipos de informes anuales, finanzas, sostenibilidad, riesgo y secretaría de empresa</w:t>
            </w:r>
          </w:p>
        </w:tc>
      </w:tr>
      <w:tr>
        <w:tc>
          <w:tcPr>
            <w:tcW w:type="dxa" w:w="2381"/>
            <w:shd w:fill="DDEB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Jurisdicción</w:t>
            </w:r>
          </w:p>
        </w:tc>
        <w:tc>
          <w:tcPr>
            <w:tcW w:type="dxa" w:w="7427"/>
            <w:shd w:fill="F3F5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Reino Unido</w:t>
            </w:r>
          </w:p>
        </w:tc>
      </w:tr>
      <w:tr>
        <w:tc>
          <w:tcPr>
            <w:tcW w:type="dxa" w:w="2381"/>
            <w:shd w:fill="EAF1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El límite técnico</w:t>
            </w:r>
          </w:p>
        </w:tc>
        <w:tc>
          <w:tcPr>
            <w:tcW w:type="dxa" w:w="7427"/>
            <w:shd w:fill="FFFFF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3 Agosto 2026</w:t>
            </w:r>
          </w:p>
        </w:tc>
      </w:tr>
      <w:tr>
        <w:tc>
          <w:tcPr>
            <w:tcW w:type="dxa" w:w="2381"/>
            <w:shd w:fill="DDEB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Estado de la información</w:t>
            </w:r>
          </w:p>
        </w:tc>
        <w:tc>
          <w:tcPr>
            <w:tcW w:type="dxa" w:w="7427"/>
            <w:shd w:fill="F3F5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Template de implementación ilustrativo. Adaptado a la final UK SRS, legislación/reglamento aplicable y hechos específicos de la entidad.</w:t>
            </w:r>
          </w:p>
        </w:tc>
      </w:tr>
    </w:tbl>
    <w:p>
      <w:pPr>
        <w:spacing w:before="240" w:after="0" w:line="252" w:lineRule="auto"/>
        <w:jc w:val="center"/>
      </w:pPr>
      <w:r>
        <w:rPr>
          <w:rFonts w:ascii="Lato" w:hAnsi="Lato" w:eastAsia="Lato"/>
          <w:i/>
          <w:color w:val="667788"/>
          <w:sz w:val="16"/>
        </w:rPr>
        <w:t>Orientación formativa para profesionales. No constituye asesoramiento jurídico ni de aseguramiento. Antes de actuar, compruebe el texto vigente de UK SRS, las normas de presentación de información aplicables y los hechos específicos de la entidad.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c>
          <w:tcPr>
            <w:tcW w:type="dxa" w:w="10036"/>
            <w:shd w:fill="EAF1F7"/>
            <w:tcMar>
              <w:top w:w="180" w:type="dxa"/>
              <w:start w:w="200" w:type="dxa"/>
              <w:bottom w:w="160" w:type="dxa"/>
              <w:end w:w="200" w:type="dxa"/>
            </w:tcMar>
            <w:tcBorders>
              <w:top w:val="single" w:sz="4" w:color="C8D2DC"/>
              <w:left w:val="single" w:sz="24" w:color="2A6F97"/>
              <w:bottom w:val="single" w:sz="4" w:color="C8D2DC"/>
              <w:right w:val="single" w:sz="4" w:color="C8D2DC"/>
            </w:tcBorders>
          </w:tcPr>
          <w:p>
            <w:pPr>
              <w:spacing w:before="0" w:after="100" w:line="240" w:lineRule="auto"/>
            </w:pPr>
            <w:r>
              <w:rPr>
                <w:rFonts w:ascii="Lato" w:hAnsi="Lato" w:eastAsia="Lato"/>
                <w:b/>
                <w:color w:val="173F65"/>
                <w:sz w:val="20"/>
              </w:rPr>
              <w:t>Cómo usar este templo</w:t>
            </w:r>
          </w:p>
          <w:p>
            <w:pPr>
              <w:spacing w:before="0" w:after="60" w:line="269" w:lineRule="auto"/>
            </w:pPr>
            <w:r>
              <w:rPr>
                <w:rFonts w:ascii="Lato" w:hAnsi="Lato" w:eastAsia="Lato"/>
                <w:b/>
                <w:color w:val="26384A"/>
                <w:sz w:val="22"/>
              </w:rPr>
              <w:t>Reemplazar cada solicitud en brackets con información específica de la entidad y respaldada por pruebas. Eliminar las directrices de redacción no aplicables sólo después de que se haya documentado la decisión de aplicabilidad o materialidad en la matriz de divulgación. No trate el modelo como un formulario oficial o una declaración de cumplimiento modelo.</w:t>
            </w:r>
          </w:p>
          <w:p>
            <w:pPr>
              <w:spacing w:before="40" w:after="0" w:line="254" w:lineRule="auto"/>
            </w:pPr>
            <w:r>
              <w:rPr>
                <w:rFonts w:ascii="Lato" w:hAnsi="Lato" w:eastAsia="Lato"/>
                <w:i/>
                <w:color w:val="667788"/>
                <w:sz w:val="17"/>
              </w:rPr>
              <w:t>Utilice junto con el UK SRS S2 Matriz de divulgación del clima y un paquete oficial actual.</w:t>
            </w:r>
          </w:p>
        </w:tc>
      </w:tr>
    </w:tbl>
    <w:p>
      <w:pPr>
        <w:spacing w:after="0"/>
      </w:pPr>
    </w:p>
    <w:p>
      <w:pPr>
        <w:pStyle w:val="Heading1"/>
      </w:pPr>
      <w:r>
        <w:t>Control de documentos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rPr>
          <w:tblHeader w:val="true"/>
        </w:trPr>
        <w:tc>
          <w:tcPr>
            <w:tcW w:type="dxa" w:w="2948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Campo de trabajo</w:t>
            </w:r>
          </w:p>
        </w:tc>
        <w:tc>
          <w:tcPr>
            <w:tcW w:type="dxa" w:w="6860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Entrada controlada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Entidad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[INSERTAR EN ENTITUD DE REPORTADO LEGAL / CONsolidado]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Periodo de presentación de informes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 PERIOD]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Localización del informe anual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[INSERRAR REPORT estratégico / OTRO OBJETIVO GENERAL REPORTO FINANCIAL LOCACIÓN]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UK Estado de presentación de informes del SRS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[Ruta de unión voluntaria / actual CONFIRMACIÓN]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UK Reclamo de SRS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[DRAFT CLAIM SUJETO AL MATRICS FINAL Y APPROVACIÓN]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Preparado por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[NAME / ROLE]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Revisor técnico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[NAME / ROLE]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Aprobación del director financiero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[DATE / STATUS]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Comité de auditoría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[DATE / STATUS]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Aprobación del Consejo de Administración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[DATE / STATUS]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Versión y fecha de lanzamiento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[VERSION / DATE / ARCHIVE LOCATION]</w:t>
            </w:r>
          </w:p>
        </w:tc>
      </w:tr>
    </w:tbl>
    <w:p>
      <w:pPr>
        <w:spacing w:after="0"/>
      </w:pPr>
    </w:p>
    <w:p>
      <w:pPr>
        <w:pStyle w:val="Heading1"/>
      </w:pPr>
      <w:r>
        <w:t>Contenidos sugeridos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345"/>
        <w:gridCol w:w="3345"/>
        <w:gridCol w:w="3345"/>
      </w:tblGrid>
      <w:tr>
        <w:trPr>
          <w:tblHeader w:val="true"/>
        </w:trPr>
        <w:tc>
          <w:tcPr>
            <w:tcW w:type="dxa" w:w="567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#</w:t>
            </w:r>
          </w:p>
        </w:tc>
        <w:tc>
          <w:tcPr>
            <w:tcW w:type="dxa" w:w="6520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Sección</w:t>
            </w:r>
          </w:p>
        </w:tc>
        <w:tc>
          <w:tcPr>
            <w:tcW w:type="dxa" w:w="272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Lugar de trabajo / páginas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1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Base de preparación y declaración de conformidad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2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Gobierno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3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Los riesgos y oportunidades relacionados con el clima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4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Estrategia, actividades y recursos de transición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5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Análisis de escenarios y resiliencia climática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6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Efectos financieros actuales y previstos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7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Gestión de riesgos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8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Metricas y objetivos climáticos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9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GHG emisiones y emisiones financiadas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10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Las decisiones, las estimaciones, las disposiciones y los cambios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11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Indice de divulgación y referencias cruzadas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</w:tbl>
    <w:p>
      <w:pPr>
        <w:spacing w:after="0"/>
      </w:pPr>
    </w:p>
    <w:p>
      <w:pPr>
        <w:pStyle w:val="Heading1"/>
      </w:pPr>
      <w:r>
        <w:t>1- Base de preparación y declaración de conformidad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Explicar qué informe se ha preparado, para qué entidad y período, cómo se seleccionó la información material, dónde se encuentra la información y cuál. UK las disposiciones o rutas de presentación de informes afectan a la reclamación.</w:t>
            </w:r>
          </w:p>
        </w:tc>
      </w:tr>
    </w:tbl>
    <w:p>
      <w:pPr>
        <w:spacing w:after="0"/>
      </w:pPr>
    </w:p>
    <w:p>
      <w:pPr>
        <w:pStyle w:val="Heading2"/>
      </w:pPr>
      <w:r>
        <w:t>1.1 Base de información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entidad declarante; misma entidad que los estados financieros; período de presentación de informes; moneda y unidades, en su caso; si la información se consolida; adquisiciones/descargas materiales; distinciones de límites específicas del clima.]</w:t>
      </w:r>
    </w:p>
    <w:p>
      <w:pPr>
        <w:pStyle w:val="Heading2"/>
      </w:pPr>
      <w:r>
        <w:t>1.2 Materialidad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cómo se identificaron los riesgos y oportunidades materiales relacionados con el clima para los usuarios primarios; naturaleza y magnitud; fuentes; gobernanza; cambios de evaluación previa.]</w:t>
      </w:r>
    </w:p>
    <w:p>
      <w:pPr>
        <w:pStyle w:val="Heading2"/>
      </w:pPr>
      <w:r>
        <w:t>1.3 Fuentes y industrias utilizadas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[Inserir: UK Fuentes de SRS; industrias y orientaciones realmente aplicadas; métricas desarrolladas por la entidad; versiones de origen.]</w:t>
      </w:r>
    </w:p>
    <w:p>
      <w:pPr>
        <w:pStyle w:val="Heading2"/>
      </w:pPr>
      <w:r>
        <w:t>1.4 Localización y referencias cruzadas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ubicación del informe anual; política de incorporación por referencia; documentos/páginas de referencia exactas; disponibilidad simultánea y controles de archivo.]</w:t>
      </w:r>
    </w:p>
    <w:p>
      <w:pPr>
        <w:pStyle w:val="Heading2"/>
      </w:pPr>
      <w:r>
        <w:t>1.5 Disposiciones y declaración de conformidad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[INSERRACIÓN: exacto] UK SRS E3/C3/C4 u otra disposición utilizada; condición; información afectada; efecto comparativo; restricción de ruta de enlace; efecto sobre el UK SRS S1/S2 y cualquier otro IFRS reclamación.]</w:t>
      </w:r>
    </w:p>
    <w:p>
      <w:pPr>
        <w:pStyle w:val="Heading2"/>
      </w:pPr>
      <w:r>
        <w:t>Pruebas y instrucciones de control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En el caso de las entidades que no tengan un importe de capital, la entidad informadora deberá presentar una declaración de su valor.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Se aprobó el registro de materialidad.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El registro de fuentes y industria está completo.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Las referencias cruzadas probadas en la liberación.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Aprobado el memorándum de provisión y reclamación.</w:t>
      </w:r>
    </w:p>
    <w:p>
      <w:pPr>
        <w:pStyle w:val="Heading1"/>
      </w:pPr>
      <w:r>
        <w:t>2- Gobierno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Describir los procesos de supervisión y gestión reales, no sólo la estructura de gobernanza.</w:t>
            </w:r>
          </w:p>
        </w:tc>
      </w:tr>
    </w:tbl>
    <w:p>
      <w:pPr>
        <w:spacing w:after="0"/>
      </w:pPr>
    </w:p>
    <w:p>
      <w:pPr>
        <w:pStyle w:val="Heading2"/>
      </w:pPr>
      <w:r>
        <w:t>2.1 Supervisión del órgano de gobierno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mandato del consejo/comité; responsabilidades; información y frecuencia; competencias; decisiones de estrategia y transacción; seguimiento objetivo; decisiones durante el período; cambios.]</w:t>
      </w:r>
    </w:p>
    <w:p>
      <w:pPr>
        <w:pStyle w:val="Heading2"/>
      </w:pPr>
      <w:r>
        <w:t>2.2 Funciones y controles de gestión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funciones de gestión designadas; líneas de presentación de informes; responsabilidades en materia de datos y control; escalada; comités internos; representaciones de la dirección.]</w:t>
      </w:r>
    </w:p>
    <w:p>
      <w:pPr>
        <w:pStyle w:val="Heading2"/>
      </w:pPr>
      <w:r>
        <w:t>2.3 Las remuneraciones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si y cómo las consideraciones climáticas entran en la remuneración; población; métrica; ponderación; resultado; aprobación de gobernanza.]</w:t>
      </w:r>
    </w:p>
    <w:p>
      <w:pPr>
        <w:pStyle w:val="Heading2"/>
      </w:pPr>
      <w:r>
        <w:t>Pruebas y instrucciones de control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Mandatos y términos del comité vigentes.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Los documentos de la Junta y las actas respaldan las reclamaciones.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Las descripciones de los roles de gestión coinciden con la operación real.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Datos de remuneración reconciliados y aprobados.</w:t>
      </w:r>
    </w:p>
    <w:p>
      <w:pPr>
        <w:pStyle w:val="Heading1"/>
      </w:pPr>
      <w:r>
        <w:t>3- Los riesgos y oportunidades relacionados con el clima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Identificar los riesgos físicos y de transición materiales y las oportunidades climáticas, sus horizontes temporales, concentraciones y vías de transmisión.</w:t>
            </w:r>
          </w:p>
        </w:tc>
      </w:tr>
    </w:tbl>
    <w:p>
      <w:pPr>
        <w:spacing w:after="0"/>
      </w:pPr>
    </w:p>
    <w:p>
      <w:pPr>
        <w:pStyle w:val="Heading2"/>
      </w:pPr>
      <w:r>
        <w:t>3.1 Horizontes temporales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horizontes a corto, medio y largo plazo datados y relación con los ciclos de planificación, la vida útil de los activos y las decisiones estratégicas.]</w:t>
      </w:r>
    </w:p>
    <w:p>
      <w:pPr>
        <w:pStyle w:val="Heading2"/>
      </w:pPr>
      <w:r>
        <w:t>3.2 Tabla de materias materiales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[TABLEA DE INSERTA: ID; riesgo/oportunidad; físico/transición/oportunidad, horizonte temporal; geografía/actividad/cadena de valor; probabilidad/magnitud; vía financiera; propietario; indicador de seguimiento.]</w:t>
      </w:r>
    </w:p>
    <w:p>
      <w:pPr>
        <w:pStyle w:val="Heading2"/>
      </w:pPr>
      <w:r>
        <w:t>3.3 Cambios respecto al período anterior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[INSERRADOR: nuevos, modificados, re-prioritizados o eliminados.]</w:t>
      </w:r>
    </w:p>
    <w:p>
      <w:pPr>
        <w:pStyle w:val="Heading2"/>
      </w:pPr>
      <w:r>
        <w:t>Pruebas y instrucciones de control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El registro de riesgos y oportunidades está completo.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 racionalidad de materialidad se ha mantenido.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Las concentraciones y los enlaces de la cadena de valor probados.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Se han trazado vías financieras.</w:t>
      </w:r>
    </w:p>
    <w:p>
      <w:pPr>
        <w:pStyle w:val="Heading1"/>
      </w:pPr>
      <w:r>
        <w:t>4- Estrategia, actividades y recursos de transición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Explicar cómo los asuntos climáticos importantes afectan al modelo de negocio, a la cadena de valor, a la toma de decisiones y a la asignación de recursos.</w:t>
            </w:r>
          </w:p>
        </w:tc>
      </w:tr>
    </w:tbl>
    <w:p>
      <w:pPr>
        <w:spacing w:after="0"/>
      </w:pPr>
    </w:p>
    <w:p>
      <w:pPr>
        <w:pStyle w:val="Heading2"/>
      </w:pPr>
      <w:r>
        <w:t>4.1 Modelo de negocio y efectos en la cadena de valor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productos, servicios, activos, mercados, proveedores, clientes, financiación y dependencias afectados.]</w:t>
      </w:r>
    </w:p>
    <w:p>
      <w:pPr>
        <w:pStyle w:val="Heading2"/>
      </w:pPr>
      <w:r>
        <w:t>4.2 Respuesta estratégica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acciones, compensaciones, mitigación directa/indirectamente, adaptación, oportunidades, cambios en la estrategia y progreso.]</w:t>
      </w:r>
    </w:p>
    <w:p>
      <w:pPr>
        <w:pStyle w:val="Heading2"/>
      </w:pPr>
      <w:r>
        <w:t>4.3 Plan de transición donde exista uno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estado del plan, objetivos, objetivos, acciones, recursos, suposiciones, dependencias, gobernanza y progreso. Indique claramente si no existe un plan formal.]</w:t>
      </w:r>
    </w:p>
    <w:p>
      <w:pPr>
        <w:pStyle w:val="Heading2"/>
      </w:pPr>
      <w:r>
        <w:t>4.4 Recursos y despliegue de capital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gasto, compromiso, aprobación, planificación y aspiración de la captx/opex; fuente de financiación; período; condiciones; dependencias.]</w:t>
      </w:r>
    </w:p>
    <w:p>
      <w:pPr>
        <w:pStyle w:val="Heading2"/>
      </w:pPr>
      <w:r>
        <w:t>Pruebas y instrucciones de control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Acciones y recursos reconciliados para financiar los planes.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Las reclamaciones del plan de transición coinciden con el plan aprobado.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Las dependencias y las condicionalidades son visibles.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El progreso incluye retrasos y cambios.</w:t>
      </w:r>
    </w:p>
    <w:p>
      <w:pPr>
        <w:pStyle w:val="Heading1"/>
      </w:pPr>
      <w:r>
        <w:t>5- Análisis de escenarios y resiliencia climática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Explicar un método de escenario proporcionado y una evaluación equilibrada de la vulnerabilidad y la capacidad de adaptación.</w:t>
            </w:r>
          </w:p>
        </w:tc>
      </w:tr>
    </w:tbl>
    <w:p>
      <w:pPr>
        <w:spacing w:after="0"/>
      </w:pPr>
    </w:p>
    <w:p>
      <w:pPr>
        <w:pStyle w:val="Heading2"/>
      </w:pPr>
      <w:r>
        <w:t>5.1 Método y alcance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finalidad; riesgos/oportunidades materiales; fuentes/versiones de escenarios; vías físicas y de transición; geografías/activos/carteras; horizontes temporales; método cualitativo/quantitativo.]</w:t>
      </w:r>
    </w:p>
    <w:p>
      <w:pPr>
        <w:pStyle w:val="Heading2"/>
      </w:pPr>
      <w:r>
        <w:t>5.2 Asunciones y limitaciones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temperatura, política, tecnología, demanda, precio, riesgo, hipótesis financieras; exclusiones; limitaciones de datos; incertidumbre del modelo.]</w:t>
      </w:r>
    </w:p>
    <w:p>
      <w:pPr>
        <w:pStyle w:val="Heading2"/>
      </w:pPr>
      <w:r>
        <w:t>5.3 Resultados y uso de la decisión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vulnerabilidades, sensibilidades, oportunidades, umbrales, estrategia/capex/decisiones y cambios de riesgo.]</w:t>
      </w:r>
    </w:p>
    <w:p>
      <w:pPr>
        <w:pStyle w:val="Heading2"/>
      </w:pPr>
      <w:r>
        <w:t>5.4 Capacidad de adaptación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opciones estratégicas; flexibilidad de activos; capacidad financiera; financiación; plazos de entrega; dependencias; factores desencadenantes de la decisión; exposición residual; incertidumbre.]</w:t>
      </w:r>
    </w:p>
    <w:p>
      <w:pPr>
        <w:pStyle w:val="Heading2"/>
      </w:pPr>
      <w:r>
        <w:t>Pruebas y instrucciones de control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Fuente de escenario y versión controlada.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Asunciones reconciliadas con la planificación financiera.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El desafío de gobernanza registrado.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 formulación de resistencia evita la certeza no apoyada.</w:t>
      </w:r>
    </w:p>
    <w:p>
      <w:pPr>
        <w:pStyle w:val="Heading1"/>
      </w:pPr>
      <w:r>
        <w:t>6. Efectos financieros actuales y previstos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Conectar cada asunto importante sobre el clima con los efectos actuales y previstos en la situación financiera, el rendimiento y los flujos de caja.</w:t>
            </w:r>
          </w:p>
        </w:tc>
      </w:tr>
    </w:tbl>
    <w:p>
      <w:pPr>
        <w:spacing w:after="0"/>
      </w:pPr>
    </w:p>
    <w:p>
      <w:pPr>
        <w:pStyle w:val="Heading2"/>
      </w:pPr>
      <w:r>
        <w:t>6.1 Puente financiero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[TABLEA DE INSERCIÓN: materia climática; corriente/anticipada; ingresos; costes; activos; pasivos; flujos de caja; financiación; captx; horizonte temporal; cantidad/rango/qualitativo; suposiciones; líneas de estados financieros afectadas.]</w:t>
      </w:r>
    </w:p>
    <w:p>
      <w:pPr>
        <w:pStyle w:val="Heading2"/>
      </w:pPr>
      <w:r>
        <w:t>6.2 Tratamiento cuantitativo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cantidades únicas, rangos o porcentajes; definiciones de denominadores; información combinada; controles de doble conteo.]</w:t>
      </w:r>
    </w:p>
    <w:p>
      <w:pPr>
        <w:pStyle w:val="Heading2"/>
      </w:pPr>
      <w:r>
        <w:t>6.3 Tratamiento o alivio cualitativo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por qué no es útil una cuantificación separada en las condiciones especificadas; elementos de línea afectados; sustitución de información cualitativa y combinada.]</w:t>
      </w:r>
    </w:p>
    <w:p>
      <w:pPr>
        <w:pStyle w:val="Heading2"/>
      </w:pPr>
      <w:r>
        <w:t>6.4 Consistencia e incertidumbre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conciliar los estados financieros, presupuestos, previsiones y escenarios; diferencias en las bases de medición; sensibilidad; incertidumbre y limitaciones.]</w:t>
      </w:r>
    </w:p>
    <w:p>
      <w:pPr>
        <w:pStyle w:val="Heading2"/>
      </w:pPr>
      <w:r>
        <w:t>Pruebas y instrucciones de control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El desafío del CFO está completo.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Se conservan los mapas de puntos de línea.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Las cantidades/rango reproducibles.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Cualquier tratamiento cualitativo aprobado con los criterios exactos.</w:t>
      </w:r>
    </w:p>
    <w:p>
      <w:pPr>
        <w:pStyle w:val="Heading1"/>
      </w:pPr>
      <w:r>
        <w:t>7- Gestión de riesgos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Describa los procesos específicos del clima y las pruebas de integración en la gestión general de riesgos.</w:t>
            </w:r>
          </w:p>
        </w:tc>
      </w:tr>
    </w:tbl>
    <w:p>
      <w:pPr>
        <w:spacing w:after="0"/>
      </w:pPr>
    </w:p>
    <w:p>
      <w:pPr>
        <w:pStyle w:val="Heading2"/>
      </w:pPr>
      <w:r>
        <w:t>7.1 Identificación y evaluación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proceso, entradas, fuentes de datos, uso de escenarios, probabilidad/magnitud, vulnerabilidad y evaluación de oportunidades.]</w:t>
      </w:r>
    </w:p>
    <w:p>
      <w:pPr>
        <w:pStyle w:val="Heading2"/>
      </w:pPr>
      <w:r>
        <w:t>7.2 Priorización y seguimiento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umbrales, apetito por el riesgo, comparación con otros riesgos, propietarios, indicadores, desencadenantes y escalada.]</w:t>
      </w:r>
    </w:p>
    <w:p>
      <w:pPr>
        <w:pStyle w:val="Heading2"/>
      </w:pPr>
      <w:r>
        <w:t>7.3 Integración y cambios en el MER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taxonomía/sistema común; flujo de comités; decisiones; cambios respecto al período anterior; diferencias entre los procesos de riesgo y oportunidad.]</w:t>
      </w:r>
    </w:p>
    <w:p>
      <w:pPr>
        <w:pStyle w:val="Heading2"/>
      </w:pPr>
      <w:r>
        <w:t>Pruebas y instrucciones de control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Los registros del sistema ERM apoyan la narrativa.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 prioridad en relación con otros riesgos es visible.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El proceso de oportunidad está controlado.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Los cambios están documentados.</w:t>
      </w:r>
    </w:p>
    <w:p>
      <w:pPr>
        <w:pStyle w:val="Heading1"/>
      </w:pPr>
      <w:r>
        <w:t>8- Metricas y objetivos climáticos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Presentar métricas transindustriales, basadas en la industria y específicas de las entidades con métodos, comparaciones y rendimiento objetivo.</w:t>
            </w:r>
          </w:p>
        </w:tc>
      </w:tr>
    </w:tbl>
    <w:p>
      <w:pPr>
        <w:spacing w:after="0"/>
      </w:pPr>
    </w:p>
    <w:p>
      <w:pPr>
        <w:pStyle w:val="Heading2"/>
      </w:pPr>
      <w:r>
        <w:t>8.1 Tabla de métricas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[Inserir: GHG; exposición al riesgo de transición; exposición al riesgo físico; oportunidades; despliegue de capital; precio interno del carbono; remuneración; métricas basadas en la industria; métricas específicas de las entidades.]</w:t>
      </w:r>
    </w:p>
    <w:p>
      <w:pPr>
        <w:pStyle w:val="Heading2"/>
      </w:pPr>
      <w:r>
        <w:t>8.2 Métodos y estimaciones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definición, unidad, fórmula, límite, período, fuente, suposiciones, estimaciones, limitaciones, cambios y tratamiento comparativo.]</w:t>
      </w:r>
    </w:p>
    <w:p>
      <w:pPr>
        <w:pStyle w:val="Heading2"/>
      </w:pPr>
      <w:r>
        <w:t>8.3 Información de la industria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industrias identificadas; fuentes consideradas y utilizadas; métricas seleccionadas/adaptadas/desarrolladas por la entidad; razón de no uso.]</w:t>
      </w:r>
    </w:p>
    <w:p>
      <w:pPr>
        <w:pStyle w:val="Heading2"/>
      </w:pPr>
      <w:r>
        <w:t>8.4 Objetivos y rendimiento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estado legal/voluntario; objetivo; métrico; alcance; período base; período objetivo; hitos; absoluta/intensidad; bruto/neto; validación; revisiones; rendimiento real; hitos y respuesta omitidos.]</w:t>
      </w:r>
    </w:p>
    <w:p>
      <w:pPr>
        <w:pStyle w:val="Heading2"/>
      </w:pPr>
      <w:r>
        <w:t>Pruebas y instrucciones de control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Diccionario de datos aprobado.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Declaración de origen/industria completa.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Los límites del objetivo se reconciliaron.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El rendimiento y las revisiones revisadas de forma independiente.</w:t>
      </w:r>
    </w:p>
    <w:p>
      <w:pPr>
        <w:pStyle w:val="Heading1"/>
      </w:pPr>
      <w:r>
        <w:t>9. GHG emisiones y emisiones financiadas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Proporcionar un inventario bruto transparente y la información aplicable sobre las emisiones financiadas sin compensar los créditos de carbono.</w:t>
            </w:r>
          </w:p>
        </w:tc>
      </w:tr>
    </w:tbl>
    <w:p>
      <w:pPr>
        <w:spacing w:after="0"/>
      </w:pPr>
    </w:p>
    <w:p>
      <w:pPr>
        <w:pStyle w:val="Heading2"/>
      </w:pPr>
      <w:r>
        <w:t>9.1 GHG mesa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alcance bruto absoluto 1, alcance 2 ubicación y alcance 3; toneladas CO2e; desagregación de grupo consolidado/otra entidad en la que se invierta; comparaciones.]</w:t>
      </w:r>
    </w:p>
    <w:p>
      <w:pPr>
        <w:pStyle w:val="Heading2"/>
      </w:pPr>
      <w:r>
        <w:t>9.2 Fronteras y método organizativos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método de consolidación; tratamiento de filiales, asociadas, sociedades unidas, arrendamientos, adquisiciones/descanso; método jurisdiccional; GHG Uso del protocolo.]</w:t>
      </w:r>
    </w:p>
    <w:p>
      <w:pPr>
        <w:pStyle w:val="Heading2"/>
      </w:pPr>
      <w:r>
        <w:t>9.3 El alcance 2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importe basado en la ubicación; instrumentos contractuales; contratos/certificados renovables y pruebas.]</w:t>
      </w:r>
    </w:p>
    <w:p>
      <w:pPr>
        <w:pStyle w:val="Heading2"/>
      </w:pPr>
      <w:r>
        <w:t>9.4 El alcance 3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[Inserir: todos 15 categorías consideradas; categorías pertinentes; método; insumos; datos primarios/secundarios; estimaciones; limitaciones; plan de reevaluación y mejora.]</w:t>
      </w:r>
    </w:p>
    <w:p>
      <w:pPr>
        <w:pStyle w:val="Heading2"/>
      </w:pPr>
      <w:r>
        <w:t>9.5 Emisos financiados si corresponde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clases de activos, cantidad, denominador, cobertura, exclusiones, clasificación de la industria, metodología, suposiciones y explicación B59A cuando se utilice.]</w:t>
      </w:r>
    </w:p>
    <w:p>
      <w:pPr>
        <w:pStyle w:val="Heading2"/>
      </w:pPr>
      <w:r>
        <w:t>9.6 Créditos de carbono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dependencia prevista para los objetivos netos; esquema, tipo, eliminación/reducción, atributos de calidad, verificación y estado de jubilación. Mantenga el inventario bruto separado.]</w:t>
      </w:r>
    </w:p>
    <w:p>
      <w:pPr>
        <w:pStyle w:val="Heading2"/>
      </w:pPr>
      <w:r>
        <w:t>Pruebas y instrucciones de control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GHG el límite reconciliado.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Factores y versiones de GWP controladas.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El alcance 3 la revisión de la integridad completa.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Tiempo de emisión financiada y B59A aprobado.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Inventario bruto no cubierto.</w:t>
      </w:r>
    </w:p>
    <w:p>
      <w:pPr>
        <w:pStyle w:val="Heading1"/>
      </w:pPr>
      <w:r>
        <w:t>10- Juicios, estimaciones, disposiciones y cambios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Hacer visibles las decisiones técnicas importantes y la incertidumbre.</w:t>
            </w:r>
          </w:p>
        </w:tc>
      </w:tr>
    </w:tbl>
    <w:p>
      <w:pPr>
        <w:spacing w:after="0"/>
      </w:pPr>
    </w:p>
    <w:p>
      <w:pPr>
        <w:pStyle w:val="Heading2"/>
      </w:pPr>
      <w:r>
        <w:t>10.1 Los juicios significativos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materialidad, límites, método de escenario, fuentes del sector, tratamiento de los efectos financieros, objetivos y decisiones de provisión.]</w:t>
      </w:r>
    </w:p>
    <w:p>
      <w:pPr>
        <w:pStyle w:val="Heading2"/>
      </w:pPr>
      <w:r>
        <w:t>10.2 Incertidumbre de medición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estimaciones de material, rangos, limitaciones del modelo, sensibilidades, calidad de la fuente y mejoría esperada.]</w:t>
      </w:r>
    </w:p>
    <w:p>
      <w:pPr>
        <w:pStyle w:val="Heading2"/>
      </w:pPr>
      <w:r>
        <w:t>10.3 Cambios y errores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metodología, estimación, límite, factor, objetivo, revisión o error comparativo; razón; efecto y aprobación.]</w:t>
      </w:r>
    </w:p>
    <w:p>
      <w:pPr>
        <w:pStyle w:val="Heading2"/>
      </w:pPr>
      <w:r>
        <w:t>10.4 UK disposiciones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[TABLEA DE INSERTA: provisión; condición; período; información afectada; divulgación de sustitutos; efecto comparativo; efecto de reclamación; aprobación.]</w:t>
      </w:r>
    </w:p>
    <w:p>
      <w:pPr>
        <w:pStyle w:val="Heading2"/>
      </w:pPr>
      <w:r>
        <w:t>Pruebas y instrucciones de control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Los registros de evaluación y estimación se reconciliaron.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Cambios clasificados correctamente.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Uso de la provisión junto a la declaración de cumplimiento.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Se aprobaron las correcciones de errores.</w:t>
      </w:r>
    </w:p>
    <w:p>
      <w:pPr>
        <w:pStyle w:val="Heading1"/>
      </w:pPr>
      <w:r>
        <w:t>11- índice de divulgación y referencias cruzadas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Proporcionar un mapa controlado desde cada requisito material hasta su ubicación en el informe y registro técnico de apoyo.</w:t>
            </w:r>
          </w:p>
        </w:tc>
      </w:tr>
    </w:tbl>
    <w:p>
      <w:pPr>
        <w:spacing w:after="0"/>
      </w:pPr>
    </w:p>
    <w:p>
      <w:pPr>
        <w:pStyle w:val="Heading2"/>
      </w:pPr>
      <w:r>
        <w:t>11.1 Indice de divulgación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[TABLEA DE INSERTA: ID de requerimiento; UK párrafo; estado; página/ubicación del informe; referencia cruzada; provisión; identificación de la evidencia; revisor.]</w:t>
      </w:r>
    </w:p>
    <w:p>
      <w:pPr>
        <w:pStyle w:val="Heading2"/>
      </w:pPr>
      <w:r>
        <w:t>11.2 Prueba de liberación de referencia cruzada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documento/página/URL exacto; tiempo de publicación; términos de acceso; versión; ubicación del archivo; responsable.]</w:t>
      </w:r>
    </w:p>
    <w:p>
      <w:pPr>
        <w:pStyle w:val="Heading2"/>
      </w:pPr>
      <w:r>
        <w:t>11.3 Relacionado UK declaraciones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[INSERRACIÓN: NFSIS, SECR y las actuales divulgaciones de la FCA; nota de superposición y reconciliación.]</w:t>
      </w:r>
    </w:p>
    <w:p>
      <w:pPr>
        <w:pStyle w:val="Heading2"/>
      </w:pPr>
      <w:r>
        <w:t>Pruebas y instrucciones de control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No hay referencias rotas o genéricas.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Información referente publicada al mismo tiempo.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Fuentes dinámicas bloqueadas o archivadas.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Las reclamaciones específicas del marco siguen siendo distintas.</w:t>
      </w:r>
    </w:p>
    <w:p>
      <w:pPr>
        <w:pStyle w:val="Heading1"/>
      </w:pPr>
      <w:r>
        <w:t>Registro final de aprobación de la dirección y del consejo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509"/>
        <w:gridCol w:w="2509"/>
        <w:gridCol w:w="2509"/>
        <w:gridCol w:w="2509"/>
      </w:tblGrid>
      <w:tr>
        <w:trPr>
          <w:tblHeader w:val="true"/>
        </w:trPr>
        <w:tc>
          <w:tcPr>
            <w:tcW w:type="dxa" w:w="238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Puerta de entrada</w:t>
            </w:r>
          </w:p>
        </w:tc>
        <w:tc>
          <w:tcPr>
            <w:tcW w:type="dxa" w:w="238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Nombre / cuerpo</w:t>
            </w:r>
          </w:p>
        </w:tc>
        <w:tc>
          <w:tcPr>
            <w:tcW w:type="dxa" w:w="238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Decisión / fecha</w:t>
            </w:r>
          </w:p>
        </w:tc>
        <w:tc>
          <w:tcPr>
            <w:tcW w:type="dxa" w:w="2665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Acciones abiertas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Certificación del titular de los datos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Revisas técnicas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Consistencia entre CFO y finanzas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Secretario legal / de la empresa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Auditoría interna / revisión de la preparación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Recomendación del comité de auditoría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Aprobación del Consejo de Administración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Certificación de liberación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FFF2CC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7F6000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7F6000"/>
                <w:sz w:val="17"/>
              </w:rPr>
              <w:t>FINAL LIMITATION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/>
                <w:color w:val="7F6000"/>
                <w:sz w:val="18"/>
              </w:rPr>
              <w:t>Las instrucciones de redacción ilustrativa no reemplazan la final UK Normas de SRS, decisiones sobre materialidad y aplicabilidad específicas de las entidades, asesoramiento jurídico, controles internos o garantía independiente.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822" w:left="935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  <w:jc w:val="center"/>
      <w:tblLayout w:type="fixed"/>
    </w:tblPr>
    <w:tblGrid>
      <w:gridCol w:w="3345"/>
      <w:gridCol w:w="3345"/>
      <w:gridCol w:w="3345"/>
    </w:tblGrid>
    <w:tr>
      <w:tc>
        <w:tcPr>
          <w:tcW w:type="dxa" w:w="3628"/>
          <w:tcMar>
            <w:top w:w="15" w:type="dxa"/>
            <w:start w:w="0" w:type="dxa"/>
            <w:bottom w:w="0" w:type="dxa"/>
            <w:end w:w="0" w:type="dxa"/>
          </w:tcMar>
          <w:tcBorders>
            <w:top w:val="single" w:sz="6" w:color="C8D2DC"/>
          </w:tcBorders>
        </w:tcPr>
        <w:p>
          <w:pPr>
            <w:spacing w:before="0" w:after="0" w:line="240" w:lineRule="auto"/>
          </w:pPr>
          <w:r>
            <w:rPr>
              <w:rFonts w:ascii="Lato" w:hAnsi="Lato" w:eastAsia="Lato"/>
              <w:color w:val="667788"/>
              <w:sz w:val="15"/>
            </w:rPr>
            <w:t>UKSRS-S2-TPL-001  · Versión 1.0</w:t>
          </w:r>
        </w:p>
      </w:tc>
      <w:tc>
        <w:tcPr>
          <w:tcW w:type="dxa" w:w="3685"/>
          <w:tcMar>
            <w:top w:w="15" w:type="dxa"/>
            <w:start w:w="0" w:type="dxa"/>
            <w:bottom w:w="0" w:type="dxa"/>
            <w:end w:w="0" w:type="dxa"/>
          </w:tcMar>
          <w:tcBorders>
            <w:top w:val="single" w:sz="6" w:color="C8D2DC"/>
          </w:tcBorders>
        </w:tcPr>
        <w:p>
          <w:pPr>
            <w:spacing w:before="0" w:after="0" w:line="240" w:lineRule="auto"/>
            <w:jc w:val="center"/>
          </w:pPr>
          <w:r>
            <w:rPr>
              <w:rFonts w:ascii="Lato" w:hAnsi="Lato" w:eastAsia="Lato"/>
              <w:color w:val="667788"/>
              <w:sz w:val="15"/>
            </w:rPr>
            <w:t>El límite técnico: 3 Agosto 2026</w:t>
          </w:r>
        </w:p>
      </w:tc>
      <w:tc>
        <w:tcPr>
          <w:tcW w:type="dxa" w:w="2721"/>
          <w:tcMar>
            <w:top w:w="15" w:type="dxa"/>
            <w:start w:w="0" w:type="dxa"/>
            <w:bottom w:w="0" w:type="dxa"/>
            <w:end w:w="0" w:type="dxa"/>
          </w:tcMar>
          <w:tcBorders>
            <w:top w:val="single" w:sz="6" w:color="C8D2DC"/>
          </w:tcBorders>
        </w:tcPr>
        <w:p>
          <w:pPr>
            <w:jc w:val="right"/>
          </w:pPr>
          <w:r>
            <w:rPr>
              <w:rFonts w:ascii="Lato" w:hAnsi="Lato" w:eastAsia="Lato"/>
              <w:color w:val="667788"/>
              <w:sz w:val="16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jc w:val="center"/>
      <w:tblLayout w:type="fixed"/>
    </w:tblPr>
    <w:tblGrid>
      <w:gridCol w:w="5017"/>
      <w:gridCol w:w="5017"/>
    </w:tblGrid>
    <w:tr>
      <w:tc>
        <w:tcPr>
          <w:tcW w:type="dxa" w:w="7257"/>
          <w:tcMar>
            <w:top w:w="20" w:type="dxa"/>
            <w:start w:w="0" w:type="dxa"/>
            <w:bottom w:w="20" w:type="dxa"/>
            <w:end w:w="0" w:type="dxa"/>
          </w:tcMar>
          <w:tcBorders>
            <w:bottom w:val="single" w:sz="8" w:color="2A6F97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Lato" w:hAnsi="Lato" w:eastAsia="Lato"/>
              <w:b/>
              <w:color w:val="667788"/>
              <w:sz w:val="16"/>
            </w:rPr>
            <w:t>LONDON REPORTING ACADEMY  ·  CENTRO DE CONOCIMIENTO</w:t>
          </w:r>
        </w:p>
      </w:tc>
      <w:tc>
        <w:tcPr>
          <w:tcW w:type="dxa" w:w="2778"/>
          <w:tcMar>
            <w:top w:w="20" w:type="dxa"/>
            <w:start w:w="0" w:type="dxa"/>
            <w:bottom w:w="20" w:type="dxa"/>
            <w:end w:w="0" w:type="dxa"/>
          </w:tcMar>
          <w:tcBorders>
            <w:bottom w:val="single" w:sz="8" w:color="2A6F97"/>
          </w:tcBorders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260000" cy="756000"/>
                <wp:docPr id="1" name="Picture 1" descr="London Reporting Academy logo" title="London Reporting Academy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RA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75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Lato" w:hAnsi="Lato" w:eastAsia="Lato"/>
      <w:color w:val="2638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Lato" w:hAnsi="Lato" w:eastAsia="Lato"/>
      <w:b/>
      <w:bCs/>
      <w:color w:val="173F6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Lato" w:hAnsi="Lato" w:eastAsia="Lato"/>
      <w:b/>
      <w:bCs/>
      <w:color w:val="2A6F97"/>
      <w:sz w:val="3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Lato" w:hAnsi="Lato" w:eastAsia="Lato"/>
      <w:b/>
      <w:bCs/>
      <w:color w:val="173F65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ato" w:hAnsi="Lato" w:eastAsia="Lato"/>
      <w:b/>
      <w:color w:val="173F6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Lato" w:hAnsi="Lato" w:eastAsia="Lato"/>
      <w:b/>
      <w:i/>
      <w:iCs/>
      <w:color w:val="667788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9" w:lineRule="auto"/>
      <w:contextualSpacing/>
    </w:pPr>
    <w:rPr>
      <w:rFonts w:ascii="Lato" w:hAnsi="Lato" w:eastAsia="Lato"/>
      <w:color w:val="26384A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59" w:lineRule="auto"/>
      <w:contextualSpacing/>
    </w:pPr>
    <w:rPr>
      <w:rFonts w:ascii="Lato" w:hAnsi="Lato" w:eastAsia="Lato"/>
      <w:color w:val="26384A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Small">
    <w:name w:val="LRA Small"/>
    <w:pPr>
      <w:spacing w:after="60" w:line="240" w:lineRule="auto"/>
    </w:pPr>
    <w:rPr>
      <w:rFonts w:ascii="Lato" w:hAnsi="Lato" w:eastAsia="Lato"/>
      <w:color w:val="667788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SRS S2 Annual Report Disclosure Template</dc:title>
  <dc:subject>Editable structure and drafting prompts for basis of preparation, four pillars, scenarios, GHG, financial effects, judgements, provisions, cross-references and approval</dc:subject>
  <dc:creator>London Reporting Academy</dc:creator>
  <cp:keywords>UK SRS S2 report template, annual report, climate disclosure</cp:keywords>
  <dc:description>Prepared as a London Reporting Academy Knowledge Card Package.</dc:description>
  <cp:lastModifiedBy>London Reporting Academy</cp:lastModifiedBy>
  <cp:revision>1</cp:revision>
  <dcterms:created xsi:type="dcterms:W3CDTF">2013-12-23T23:15:00Z</dcterms:created>
  <dcterms:modified xsi:type="dcterms:W3CDTF">2013-12-23T23:15:00Z</dcterms:modified>
  <cp:category/>
</cp:coreProperties>
</file>