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Layout w:type="fixed"/>
      </w:tblPr>
      <w:tblGrid>
        <w:gridCol w:w="10036"/>
      </w:tblGrid>
      <w:tr>
        <w:trPr>
          <w:trHeight w:val="4706" w:hRule="atLeast"/>
        </w:trPr>
        <w:tc>
          <w:tcPr>
            <w:tcW w:type="dxa" w:w="10036"/>
            <w:shd w:fill="173F65"/>
            <w:tcMar>
              <w:top w:w="420" w:type="dxa"/>
              <w:start w:w="420" w:type="dxa"/>
              <w:bottom w:w="380" w:type="dxa"/>
              <w:end w:w="420" w:type="dxa"/>
            </w:tcMar>
          </w:tcPr>
          <w:p>
            <w:pPr>
              <w:spacing w:before="0" w:after="160" w:line="240" w:lineRule="auto"/>
              <w:jc w:val="right"/>
            </w:pPr>
            <w:r>
              <w:drawing>
                <wp:inline xmlns:a="http://schemas.openxmlformats.org/drawingml/2006/main" xmlns:pic="http://schemas.openxmlformats.org/drawingml/2006/picture">
                  <wp:extent cx="1800000" cy="387624"/>
                  <wp:docPr id="1" name="Picture 1" descr="London Reporting Academy logo" title="London Reporting Academy logo"/>
                  <wp:cNvGraphicFramePr>
                    <a:graphicFrameLocks noChangeAspect="1"/>
                  </wp:cNvGraphicFramePr>
                  <a:graphic>
                    <a:graphicData uri="http://schemas.openxmlformats.org/drawingml/2006/picture">
                      <pic:pic>
                        <pic:nvPicPr>
                          <pic:cNvPr id="0" name="LRA_logo_white_panel.png"/>
                          <pic:cNvPicPr/>
                        </pic:nvPicPr>
                        <pic:blipFill>
                          <a:blip r:embed="rId11"/>
                          <a:stretch>
                            <a:fillRect/>
                          </a:stretch>
                        </pic:blipFill>
                        <pic:spPr>
                          <a:xfrm>
                            <a:off x="0" y="0"/>
                            <a:ext cx="1800000" cy="387624"/>
                          </a:xfrm>
                          <a:prstGeom prst="rect"/>
                        </pic:spPr>
                      </pic:pic>
                    </a:graphicData>
                  </a:graphic>
                </wp:inline>
              </w:drawing>
            </w:r>
          </w:p>
          <w:p>
            <w:pPr>
              <w:spacing w:before="320" w:after="160" w:line="240" w:lineRule="auto"/>
            </w:pPr>
            <w:r>
              <w:rPr>
                <w:rFonts w:ascii="Lato" w:hAnsi="Lato" w:eastAsia="Lato"/>
                <w:b/>
                <w:color w:val="FFFFFF"/>
                <w:sz w:val="50"/>
              </w:rPr>
              <w:t>UK SRS S2 Template de déclaration annuelle</w:t>
            </w:r>
          </w:p>
          <w:p>
            <w:pPr>
              <w:spacing w:before="100" w:after="0" w:line="259" w:lineRule="auto"/>
            </w:pPr>
            <w:r>
              <w:rPr>
                <w:rFonts w:ascii="Lato" w:hAnsi="Lato" w:eastAsia="Lato"/>
                <w:color w:val="DCE9F5"/>
                <w:sz w:val="26"/>
              </w:rPr>
              <w:t>Structure éditable et rédaction de conseils sur la base de la préparation, quatre piliers, scénarios, GHG, effets financiers, jugements, dispositions, références croisées et approbation</w:t>
            </w:r>
          </w:p>
        </w:tc>
      </w:tr>
    </w:tbl>
    <w:p/>
    <w:tbl>
      <w:tblPr>
        <w:tblW w:type="auto" w:w="0"/>
        <w:jc w:val="center"/>
        <w:tblLook w:firstColumn="1" w:firstRow="1" w:lastColumn="0" w:lastRow="0" w:noHBand="0" w:noVBand="1" w:val="04A0"/>
        <w:tblLayout w:type="fixed"/>
      </w:tblPr>
      <w:tblGrid>
        <w:gridCol w:w="5018"/>
        <w:gridCol w:w="5018"/>
      </w:tblGrid>
      <w:tr>
        <w:tc>
          <w:tcPr>
            <w:tcW w:type="dxa" w:w="2381"/>
            <w:shd w:fill="EAF1F7"/>
            <w:tcMar>
              <w:top w:w="90" w:type="dxa"/>
              <w:start w:w="120" w:type="dxa"/>
              <w:bottom w:w="90" w:type="dxa"/>
              <w:end w:w="120" w:type="dxa"/>
            </w:tcMar>
            <w:tcBorders>
              <w:top w:val="single" w:sz="4" w:color="C8D2DC"/>
              <w:left w:val="single" w:sz="4" w:color="C8D2DC"/>
              <w:bottom w:val="single" w:sz="4" w:color="C8D2DC"/>
              <w:right w:val="single" w:sz="4" w:color="C8D2DC"/>
            </w:tcBorders>
          </w:tcPr>
          <w:p>
            <w:pPr>
              <w:spacing w:before="0" w:after="0" w:line="240" w:lineRule="auto"/>
            </w:pPr>
            <w:r>
              <w:rPr>
                <w:rFonts w:ascii="Lato" w:hAnsi="Lato" w:eastAsia="Lato"/>
                <w:b/>
                <w:color w:val="173F65"/>
                <w:sz w:val="18"/>
              </w:rPr>
              <w:t>Identification de l'article</w:t>
            </w:r>
          </w:p>
        </w:tc>
        <w:tc>
          <w:tcPr>
            <w:tcW w:type="dxa" w:w="7427"/>
            <w:shd w:fill="FFFFFF"/>
            <w:tcMar>
              <w:top w:w="90" w:type="dxa"/>
              <w:start w:w="120" w:type="dxa"/>
              <w:bottom w:w="90" w:type="dxa"/>
              <w:end w:w="120" w:type="dxa"/>
            </w:tcMar>
            <w:tcBorders>
              <w:top w:val="single" w:sz="4" w:color="C8D2DC"/>
              <w:left w:val="single" w:sz="4" w:color="C8D2DC"/>
              <w:bottom w:val="single" w:sz="4" w:color="C8D2DC"/>
              <w:right w:val="single" w:sz="4" w:color="C8D2DC"/>
            </w:tcBorders>
          </w:tcPr>
          <w:p>
            <w:pPr>
              <w:spacing w:before="0" w:after="0" w:line="240" w:lineRule="auto"/>
            </w:pPr>
            <w:r>
              <w:rPr>
                <w:rFonts w:ascii="Lato" w:hAnsi="Lato" w:eastAsia="Lato"/>
                <w:color w:val="26384A"/>
                <w:sz w:val="18"/>
              </w:rPr>
              <w:t>UKSRS-S2-TPL-001</w:t>
            </w:r>
          </w:p>
        </w:tc>
      </w:tr>
      <w:tr>
        <w:tc>
          <w:tcPr>
            <w:tcW w:type="dxa" w:w="2381"/>
            <w:shd w:fill="DDEBF7"/>
            <w:tcMar>
              <w:top w:w="90" w:type="dxa"/>
              <w:start w:w="120" w:type="dxa"/>
              <w:bottom w:w="90" w:type="dxa"/>
              <w:end w:w="120" w:type="dxa"/>
            </w:tcMar>
            <w:tcBorders>
              <w:top w:val="single" w:sz="4" w:color="C8D2DC"/>
              <w:left w:val="single" w:sz="4" w:color="C8D2DC"/>
              <w:bottom w:val="single" w:sz="4" w:color="C8D2DC"/>
              <w:right w:val="single" w:sz="4" w:color="C8D2DC"/>
            </w:tcBorders>
          </w:tcPr>
          <w:p>
            <w:pPr>
              <w:spacing w:before="0" w:after="0" w:line="240" w:lineRule="auto"/>
            </w:pPr>
            <w:r>
              <w:rPr>
                <w:rFonts w:ascii="Lato" w:hAnsi="Lato" w:eastAsia="Lato"/>
                <w:b/>
                <w:color w:val="173F65"/>
                <w:sz w:val="18"/>
              </w:rPr>
              <w:t>Type de publication</w:t>
            </w:r>
          </w:p>
        </w:tc>
        <w:tc>
          <w:tcPr>
            <w:tcW w:type="dxa" w:w="7427"/>
            <w:shd w:fill="F3F5F7"/>
            <w:tcMar>
              <w:top w:w="90" w:type="dxa"/>
              <w:start w:w="120" w:type="dxa"/>
              <w:bottom w:w="90" w:type="dxa"/>
              <w:end w:w="120" w:type="dxa"/>
            </w:tcMar>
            <w:tcBorders>
              <w:top w:val="single" w:sz="4" w:color="C8D2DC"/>
              <w:left w:val="single" w:sz="4" w:color="C8D2DC"/>
              <w:bottom w:val="single" w:sz="4" w:color="C8D2DC"/>
              <w:right w:val="single" w:sz="4" w:color="C8D2DC"/>
            </w:tcBorders>
          </w:tcPr>
          <w:p>
            <w:pPr>
              <w:spacing w:before="0" w:after="0" w:line="240" w:lineRule="auto"/>
            </w:pPr>
            <w:r>
              <w:rPr>
                <w:rFonts w:ascii="Lato" w:hAnsi="Lato" w:eastAsia="Lato"/>
                <w:color w:val="26384A"/>
                <w:sz w:val="18"/>
              </w:rPr>
              <w:t>Modèle de rapport pratique</w:t>
            </w:r>
          </w:p>
        </w:tc>
      </w:tr>
      <w:tr>
        <w:tc>
          <w:tcPr>
            <w:tcW w:type="dxa" w:w="2381"/>
            <w:shd w:fill="EAF1F7"/>
            <w:tcMar>
              <w:top w:w="90" w:type="dxa"/>
              <w:start w:w="120" w:type="dxa"/>
              <w:bottom w:w="90" w:type="dxa"/>
              <w:end w:w="120" w:type="dxa"/>
            </w:tcMar>
            <w:tcBorders>
              <w:top w:val="single" w:sz="4" w:color="C8D2DC"/>
              <w:left w:val="single" w:sz="4" w:color="C8D2DC"/>
              <w:bottom w:val="single" w:sz="4" w:color="C8D2DC"/>
              <w:right w:val="single" w:sz="4" w:color="C8D2DC"/>
            </w:tcBorders>
          </w:tcPr>
          <w:p>
            <w:pPr>
              <w:spacing w:before="0" w:after="0" w:line="240" w:lineRule="auto"/>
            </w:pPr>
            <w:r>
              <w:rPr>
                <w:rFonts w:ascii="Lato" w:hAnsi="Lato" w:eastAsia="Lato"/>
                <w:b/>
                <w:color w:val="173F65"/>
                <w:sz w:val="18"/>
              </w:rPr>
              <w:t>Le public primaire</w:t>
            </w:r>
          </w:p>
        </w:tc>
        <w:tc>
          <w:tcPr>
            <w:tcW w:type="dxa" w:w="7427"/>
            <w:shd w:fill="FFFFFF"/>
            <w:tcMar>
              <w:top w:w="90" w:type="dxa"/>
              <w:start w:w="120" w:type="dxa"/>
              <w:bottom w:w="90" w:type="dxa"/>
              <w:end w:w="120" w:type="dxa"/>
            </w:tcMar>
            <w:tcBorders>
              <w:top w:val="single" w:sz="4" w:color="C8D2DC"/>
              <w:left w:val="single" w:sz="4" w:color="C8D2DC"/>
              <w:bottom w:val="single" w:sz="4" w:color="C8D2DC"/>
              <w:right w:val="single" w:sz="4" w:color="C8D2DC"/>
            </w:tcBorders>
          </w:tcPr>
          <w:p>
            <w:pPr>
              <w:spacing w:before="0" w:after="0" w:line="240" w:lineRule="auto"/>
            </w:pPr>
            <w:r>
              <w:rPr>
                <w:rFonts w:ascii="Lato" w:hAnsi="Lato" w:eastAsia="Lato"/>
                <w:color w:val="26384A"/>
                <w:sz w:val="18"/>
              </w:rPr>
              <w:t>UK les équipes de rapport annuel, de finances, de durabilité, de risque et de secrétariat des sociétés</w:t>
            </w:r>
          </w:p>
        </w:tc>
      </w:tr>
      <w:tr>
        <w:tc>
          <w:tcPr>
            <w:tcW w:type="dxa" w:w="2381"/>
            <w:shd w:fill="DDEBF7"/>
            <w:tcMar>
              <w:top w:w="90" w:type="dxa"/>
              <w:start w:w="120" w:type="dxa"/>
              <w:bottom w:w="90" w:type="dxa"/>
              <w:end w:w="120" w:type="dxa"/>
            </w:tcMar>
            <w:tcBorders>
              <w:top w:val="single" w:sz="4" w:color="C8D2DC"/>
              <w:left w:val="single" w:sz="4" w:color="C8D2DC"/>
              <w:bottom w:val="single" w:sz="4" w:color="C8D2DC"/>
              <w:right w:val="single" w:sz="4" w:color="C8D2DC"/>
            </w:tcBorders>
          </w:tcPr>
          <w:p>
            <w:pPr>
              <w:spacing w:before="0" w:after="0" w:line="240" w:lineRule="auto"/>
            </w:pPr>
            <w:r>
              <w:rPr>
                <w:rFonts w:ascii="Lato" w:hAnsi="Lato" w:eastAsia="Lato"/>
                <w:b/>
                <w:color w:val="173F65"/>
                <w:sz w:val="18"/>
              </w:rPr>
              <w:t>Jurisdiction</w:t>
            </w:r>
          </w:p>
        </w:tc>
        <w:tc>
          <w:tcPr>
            <w:tcW w:type="dxa" w:w="7427"/>
            <w:shd w:fill="F3F5F7"/>
            <w:tcMar>
              <w:top w:w="90" w:type="dxa"/>
              <w:start w:w="120" w:type="dxa"/>
              <w:bottom w:w="90" w:type="dxa"/>
              <w:end w:w="120" w:type="dxa"/>
            </w:tcMar>
            <w:tcBorders>
              <w:top w:val="single" w:sz="4" w:color="C8D2DC"/>
              <w:left w:val="single" w:sz="4" w:color="C8D2DC"/>
              <w:bottom w:val="single" w:sz="4" w:color="C8D2DC"/>
              <w:right w:val="single" w:sz="4" w:color="C8D2DC"/>
            </w:tcBorders>
          </w:tcPr>
          <w:p>
            <w:pPr>
              <w:spacing w:before="0" w:after="0" w:line="240" w:lineRule="auto"/>
            </w:pPr>
            <w:r>
              <w:rPr>
                <w:rFonts w:ascii="Lato" w:hAnsi="Lato" w:eastAsia="Lato"/>
                <w:color w:val="26384A"/>
                <w:sz w:val="18"/>
              </w:rPr>
              <w:t>Royaume-Uni</w:t>
            </w:r>
          </w:p>
        </w:tc>
      </w:tr>
      <w:tr>
        <w:tc>
          <w:tcPr>
            <w:tcW w:type="dxa" w:w="2381"/>
            <w:shd w:fill="EAF1F7"/>
            <w:tcMar>
              <w:top w:w="90" w:type="dxa"/>
              <w:start w:w="120" w:type="dxa"/>
              <w:bottom w:w="90" w:type="dxa"/>
              <w:end w:w="120" w:type="dxa"/>
            </w:tcMar>
            <w:tcBorders>
              <w:top w:val="single" w:sz="4" w:color="C8D2DC"/>
              <w:left w:val="single" w:sz="4" w:color="C8D2DC"/>
              <w:bottom w:val="single" w:sz="4" w:color="C8D2DC"/>
              <w:right w:val="single" w:sz="4" w:color="C8D2DC"/>
            </w:tcBorders>
          </w:tcPr>
          <w:p>
            <w:pPr>
              <w:spacing w:before="0" w:after="0" w:line="240" w:lineRule="auto"/>
            </w:pPr>
            <w:r>
              <w:rPr>
                <w:rFonts w:ascii="Lato" w:hAnsi="Lato" w:eastAsia="Lato"/>
                <w:b/>
                <w:color w:val="173F65"/>
                <w:sz w:val="18"/>
              </w:rPr>
              <w:t>Réservation technique</w:t>
            </w:r>
          </w:p>
        </w:tc>
        <w:tc>
          <w:tcPr>
            <w:tcW w:type="dxa" w:w="7427"/>
            <w:shd w:fill="FFFFFF"/>
            <w:tcMar>
              <w:top w:w="90" w:type="dxa"/>
              <w:start w:w="120" w:type="dxa"/>
              <w:bottom w:w="90" w:type="dxa"/>
              <w:end w:w="120" w:type="dxa"/>
            </w:tcMar>
            <w:tcBorders>
              <w:top w:val="single" w:sz="4" w:color="C8D2DC"/>
              <w:left w:val="single" w:sz="4" w:color="C8D2DC"/>
              <w:bottom w:val="single" w:sz="4" w:color="C8D2DC"/>
              <w:right w:val="single" w:sz="4" w:color="C8D2DC"/>
            </w:tcBorders>
          </w:tcPr>
          <w:p>
            <w:pPr>
              <w:spacing w:before="0" w:after="0" w:line="240" w:lineRule="auto"/>
            </w:pPr>
            <w:r>
              <w:rPr>
                <w:rFonts w:ascii="Lato" w:hAnsi="Lato" w:eastAsia="Lato"/>
                <w:color w:val="26384A"/>
                <w:sz w:val="18"/>
              </w:rPr>
              <w:t>3 Août 2026</w:t>
            </w:r>
          </w:p>
        </w:tc>
      </w:tr>
      <w:tr>
        <w:tc>
          <w:tcPr>
            <w:tcW w:type="dxa" w:w="2381"/>
            <w:shd w:fill="DDEBF7"/>
            <w:tcMar>
              <w:top w:w="90" w:type="dxa"/>
              <w:start w:w="120" w:type="dxa"/>
              <w:bottom w:w="90" w:type="dxa"/>
              <w:end w:w="120" w:type="dxa"/>
            </w:tcMar>
            <w:tcBorders>
              <w:top w:val="single" w:sz="4" w:color="C8D2DC"/>
              <w:left w:val="single" w:sz="4" w:color="C8D2DC"/>
              <w:bottom w:val="single" w:sz="4" w:color="C8D2DC"/>
              <w:right w:val="single" w:sz="4" w:color="C8D2DC"/>
            </w:tcBorders>
          </w:tcPr>
          <w:p>
            <w:pPr>
              <w:spacing w:before="0" w:after="0" w:line="240" w:lineRule="auto"/>
            </w:pPr>
            <w:r>
              <w:rPr>
                <w:rFonts w:ascii="Lato" w:hAnsi="Lato" w:eastAsia="Lato"/>
                <w:b/>
                <w:color w:val="173F65"/>
                <w:sz w:val="18"/>
              </w:rPr>
              <w:t>Statut de déclaration</w:t>
            </w:r>
          </w:p>
        </w:tc>
        <w:tc>
          <w:tcPr>
            <w:tcW w:type="dxa" w:w="7427"/>
            <w:shd w:fill="F3F5F7"/>
            <w:tcMar>
              <w:top w:w="90" w:type="dxa"/>
              <w:start w:w="120" w:type="dxa"/>
              <w:bottom w:w="90" w:type="dxa"/>
              <w:end w:w="120" w:type="dxa"/>
            </w:tcMar>
            <w:tcBorders>
              <w:top w:val="single" w:sz="4" w:color="C8D2DC"/>
              <w:left w:val="single" w:sz="4" w:color="C8D2DC"/>
              <w:bottom w:val="single" w:sz="4" w:color="C8D2DC"/>
              <w:right w:val="single" w:sz="4" w:color="C8D2DC"/>
            </w:tcBorders>
          </w:tcPr>
          <w:p>
            <w:pPr>
              <w:spacing w:before="0" w:after="0" w:line="240" w:lineRule="auto"/>
            </w:pPr>
            <w:r>
              <w:rPr>
                <w:rFonts w:ascii="Lato" w:hAnsi="Lato" w:eastAsia="Lato"/>
                <w:color w:val="26384A"/>
                <w:sz w:val="18"/>
              </w:rPr>
              <w:t>Template d'implémentation illustrative. Adapté à la version finale UK SRS, législation/règlement applicable et faits spécifiques à l'entité.</w:t>
            </w:r>
          </w:p>
        </w:tc>
      </w:tr>
    </w:tbl>
    <w:p>
      <w:pPr>
        <w:spacing w:before="240" w:after="0" w:line="252" w:lineRule="auto"/>
        <w:jc w:val="center"/>
      </w:pPr>
      <w:r>
        <w:rPr>
          <w:rFonts w:ascii="Lato" w:hAnsi="Lato" w:eastAsia="Lato"/>
          <w:i/>
          <w:color w:val="667788"/>
          <w:sz w:val="16"/>
        </w:rPr>
        <w:t>Guide pédagogique destiné aux professionnels. Il ne constitue ni un conseil juridique ni un conseil en matière d’assurance. Avant d’agir, vérifiez le texte en vigueur des UK SRS, les règles de reporting applicables et les faits propres à l’entité.</w:t>
      </w:r>
    </w:p>
    <w:p>
      <w:r>
        <w:br w:type="page"/>
      </w:r>
    </w:p>
    <w:tbl>
      <w:tblPr>
        <w:tblW w:type="auto" w:w="0"/>
        <w:jc w:val="center"/>
        <w:tblLook w:firstColumn="1" w:firstRow="1" w:lastColumn="0" w:lastRow="0" w:noHBand="0" w:noVBand="1" w:val="04A0"/>
        <w:tblLayout w:type="fixed"/>
      </w:tblPr>
      <w:tblGrid>
        <w:gridCol w:w="10036"/>
      </w:tblGrid>
      <w:tr>
        <w:tc>
          <w:tcPr>
            <w:tcW w:type="dxa" w:w="10036"/>
            <w:shd w:fill="EAF1F7"/>
            <w:tcMar>
              <w:top w:w="180" w:type="dxa"/>
              <w:start w:w="200" w:type="dxa"/>
              <w:bottom w:w="160" w:type="dxa"/>
              <w:end w:w="200" w:type="dxa"/>
            </w:tcMar>
            <w:tcBorders>
              <w:top w:val="single" w:sz="4" w:color="C8D2DC"/>
              <w:left w:val="single" w:sz="24" w:color="2A6F97"/>
              <w:bottom w:val="single" w:sz="4" w:color="C8D2DC"/>
              <w:right w:val="single" w:sz="4" w:color="C8D2DC"/>
            </w:tcBorders>
          </w:tcPr>
          <w:p>
            <w:pPr>
              <w:spacing w:before="0" w:after="100" w:line="240" w:lineRule="auto"/>
            </w:pPr>
            <w:r>
              <w:rPr>
                <w:rFonts w:ascii="Lato" w:hAnsi="Lato" w:eastAsia="Lato"/>
                <w:b/>
                <w:color w:val="173F65"/>
                <w:sz w:val="20"/>
              </w:rPr>
              <w:t>Comment utiliser ce temple</w:t>
            </w:r>
          </w:p>
          <w:p>
            <w:pPr>
              <w:spacing w:before="0" w:after="60" w:line="269" w:lineRule="auto"/>
            </w:pPr>
            <w:r>
              <w:rPr>
                <w:rFonts w:ascii="Lato" w:hAnsi="Lato" w:eastAsia="Lato"/>
                <w:b/>
                <w:color w:val="26384A"/>
                <w:sz w:val="22"/>
              </w:rPr>
              <w:t>Remplacez chaque demande en parenthèses par des informations spécifiques à l'entité, appuyées par des éléments de preuve. Supprimez les directives d'élaboration non applicables seulement après que la décision d'applicabilité ou de pertinence ait été documentée dans la matrice de divulgation. Ne traitez pas le modèle comme un formulaire officiel ou un modèle de déclaration de conformité.</w:t>
            </w:r>
          </w:p>
          <w:p>
            <w:pPr>
              <w:spacing w:before="40" w:after="0" w:line="254" w:lineRule="auto"/>
            </w:pPr>
            <w:r>
              <w:rPr>
                <w:rFonts w:ascii="Lato" w:hAnsi="Lato" w:eastAsia="Lato"/>
                <w:i/>
                <w:color w:val="667788"/>
                <w:sz w:val="17"/>
              </w:rPr>
              <w:t>Utilisation conjointe avec le UK SRS S2 Matrice de divulgation du climat et un pack source officiel actuel.</w:t>
            </w:r>
          </w:p>
        </w:tc>
      </w:tr>
    </w:tbl>
    <w:p>
      <w:pPr>
        <w:spacing w:after="0"/>
      </w:pPr>
    </w:p>
    <w:p>
      <w:pPr>
        <w:pStyle w:val="Heading1"/>
      </w:pPr>
      <w:r>
        <w:t>Contrôle des documents</w:t>
      </w:r>
    </w:p>
    <w:tbl>
      <w:tblPr>
        <w:tblW w:type="auto" w:w="0"/>
        <w:jc w:val="center"/>
        <w:tblLook w:firstColumn="1" w:firstRow="1" w:lastColumn="0" w:lastRow="0" w:noHBand="0" w:noVBand="1" w:val="04A0"/>
        <w:tblLayout w:type="fixed"/>
      </w:tblPr>
      <w:tblGrid>
        <w:gridCol w:w="5018"/>
        <w:gridCol w:w="5018"/>
      </w:tblGrid>
      <w:tr>
        <w:trPr>
          <w:tblHeader w:val="true"/>
        </w:trPr>
        <w:tc>
          <w:tcPr>
            <w:tcW w:type="dxa" w:w="2948"/>
            <w:shd w:fill="173F65"/>
            <w:tcMar>
              <w:top w:w="90" w:type="dxa"/>
              <w:start w:w="80" w:type="dxa"/>
              <w:bottom w:w="90" w:type="dxa"/>
              <w:end w:w="80" w:type="dxa"/>
            </w:tcMar>
            <w:tcBorders>
              <w:top w:val="single" w:sz="4" w:color="C8D2DC"/>
              <w:left w:val="single" w:sz="4" w:color="C8D2DC"/>
              <w:bottom w:val="single" w:sz="4" w:color="C8D2DC"/>
              <w:right w:val="single" w:sz="4" w:color="C8D2DC"/>
            </w:tcBorders>
          </w:tcPr>
          <w:p>
            <w:pPr>
              <w:spacing w:before="0" w:after="0" w:line="240" w:lineRule="auto"/>
              <w:jc w:val="left"/>
            </w:pPr>
            <w:r>
              <w:rPr>
                <w:rFonts w:ascii="Lato" w:hAnsi="Lato" w:eastAsia="Lato"/>
                <w:b/>
                <w:color w:val="FFFFFF"/>
                <w:sz w:val="18"/>
              </w:rPr>
              <w:t>champs</w:t>
            </w:r>
          </w:p>
        </w:tc>
        <w:tc>
          <w:tcPr>
            <w:tcW w:type="dxa" w:w="6860"/>
            <w:shd w:fill="173F65"/>
            <w:tcMar>
              <w:top w:w="90" w:type="dxa"/>
              <w:start w:w="80" w:type="dxa"/>
              <w:bottom w:w="90" w:type="dxa"/>
              <w:end w:w="80" w:type="dxa"/>
            </w:tcMar>
            <w:tcBorders>
              <w:top w:val="single" w:sz="4" w:color="C8D2DC"/>
              <w:left w:val="single" w:sz="4" w:color="C8D2DC"/>
              <w:bottom w:val="single" w:sz="4" w:color="C8D2DC"/>
              <w:right w:val="single" w:sz="4" w:color="C8D2DC"/>
            </w:tcBorders>
          </w:tcPr>
          <w:p>
            <w:pPr>
              <w:spacing w:before="0" w:after="0" w:line="240" w:lineRule="auto"/>
              <w:jc w:val="left"/>
            </w:pPr>
            <w:r>
              <w:rPr>
                <w:rFonts w:ascii="Lato" w:hAnsi="Lato" w:eastAsia="Lato"/>
                <w:b/>
                <w:color w:val="FFFFFF"/>
                <w:sz w:val="18"/>
              </w:rPr>
              <w:t>Entrée contrôlée</w:t>
            </w:r>
          </w:p>
        </w:tc>
      </w:tr>
      <w:tr>
        <w:tc>
          <w:tcPr>
            <w:tcW w:type="dxa" w:w="2948"/>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color w:val="173F65"/>
                <w:sz w:val="17"/>
              </w:rPr>
              <w:t>Entité</w:t>
            </w:r>
          </w:p>
        </w:tc>
        <w:tc>
          <w:tcPr>
            <w:tcW w:type="dxa" w:w="6860"/>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[INSERTÉ LIGAL/ENTITÉ RAPORTATIVE CONsolidée]</w:t>
            </w:r>
          </w:p>
        </w:tc>
      </w:tr>
      <w:tr>
        <w:tc>
          <w:tcPr>
            <w:tcW w:type="dxa" w:w="2948"/>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color w:val="173F65"/>
                <w:sz w:val="17"/>
              </w:rPr>
              <w:t>Periode de déclaration</w:t>
            </w:r>
          </w:p>
        </w:tc>
        <w:tc>
          <w:tcPr>
            <w:tcW w:type="dxa" w:w="6860"/>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 PERIOD]</w:t>
            </w:r>
          </w:p>
        </w:tc>
      </w:tr>
      <w:tr>
        <w:tc>
          <w:tcPr>
            <w:tcW w:type="dxa" w:w="2948"/>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color w:val="173F65"/>
                <w:sz w:val="17"/>
              </w:rPr>
              <w:t>Localisation du rapport annuel</w:t>
            </w:r>
          </w:p>
        </w:tc>
        <w:tc>
          <w:tcPr>
            <w:tcW w:type="dxa" w:w="6860"/>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 REPORT STATÉGIC / Autre OBJECTIF GENERAL REPORTE FINANCIEL LOCATION]</w:t>
            </w:r>
          </w:p>
        </w:tc>
      </w:tr>
      <w:tr>
        <w:tc>
          <w:tcPr>
            <w:tcW w:type="dxa" w:w="2948"/>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color w:val="173F65"/>
                <w:sz w:val="17"/>
              </w:rPr>
              <w:t>UK Statut des rapports SRS</w:t>
            </w:r>
          </w:p>
        </w:tc>
        <w:tc>
          <w:tcPr>
            <w:tcW w:type="dxa" w:w="6860"/>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[Route de liaison volontaire / courante CONFIRMATION]</w:t>
            </w:r>
          </w:p>
        </w:tc>
      </w:tr>
      <w:tr>
        <w:tc>
          <w:tcPr>
            <w:tcW w:type="dxa" w:w="2948"/>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color w:val="173F65"/>
                <w:sz w:val="17"/>
              </w:rPr>
              <w:t>UK Demandes de RRS</w:t>
            </w:r>
          </w:p>
        </w:tc>
        <w:tc>
          <w:tcPr>
            <w:tcW w:type="dxa" w:w="6860"/>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[DRAFT CLAIM SUJET à la matrice finale et l'approbation]</w:t>
            </w:r>
          </w:p>
        </w:tc>
      </w:tr>
      <w:tr>
        <w:tc>
          <w:tcPr>
            <w:tcW w:type="dxa" w:w="2948"/>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color w:val="173F65"/>
                <w:sz w:val="17"/>
              </w:rPr>
              <w:t>Préparé par:</w:t>
            </w:r>
          </w:p>
        </w:tc>
        <w:tc>
          <w:tcPr>
            <w:tcW w:type="dxa" w:w="6860"/>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[NAME / ROLE]</w:t>
            </w:r>
          </w:p>
        </w:tc>
      </w:tr>
      <w:tr>
        <w:tc>
          <w:tcPr>
            <w:tcW w:type="dxa" w:w="2948"/>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color w:val="173F65"/>
                <w:sz w:val="17"/>
              </w:rPr>
              <w:t>Réviseur technique</w:t>
            </w:r>
          </w:p>
        </w:tc>
        <w:tc>
          <w:tcPr>
            <w:tcW w:type="dxa" w:w="6860"/>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[NAME / ROLE]</w:t>
            </w:r>
          </w:p>
        </w:tc>
      </w:tr>
      <w:tr>
        <w:tc>
          <w:tcPr>
            <w:tcW w:type="dxa" w:w="2948"/>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color w:val="173F65"/>
                <w:sz w:val="17"/>
              </w:rPr>
              <w:t>Approbation du directeur financier</w:t>
            </w:r>
          </w:p>
        </w:tc>
        <w:tc>
          <w:tcPr>
            <w:tcW w:type="dxa" w:w="6860"/>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[DATE / STATUS]</w:t>
            </w:r>
          </w:p>
        </w:tc>
      </w:tr>
      <w:tr>
        <w:tc>
          <w:tcPr>
            <w:tcW w:type="dxa" w:w="2948"/>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color w:val="173F65"/>
                <w:sz w:val="17"/>
              </w:rPr>
              <w:t>Comité d'audit</w:t>
            </w:r>
          </w:p>
        </w:tc>
        <w:tc>
          <w:tcPr>
            <w:tcW w:type="dxa" w:w="6860"/>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[DATE / STATUS]</w:t>
            </w:r>
          </w:p>
        </w:tc>
      </w:tr>
      <w:tr>
        <w:tc>
          <w:tcPr>
            <w:tcW w:type="dxa" w:w="2948"/>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color w:val="173F65"/>
                <w:sz w:val="17"/>
              </w:rPr>
              <w:t>Approbation du conseil d'administration</w:t>
            </w:r>
          </w:p>
        </w:tc>
        <w:tc>
          <w:tcPr>
            <w:tcW w:type="dxa" w:w="6860"/>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[DATE / STATUS]</w:t>
            </w:r>
          </w:p>
        </w:tc>
      </w:tr>
      <w:tr>
        <w:tc>
          <w:tcPr>
            <w:tcW w:type="dxa" w:w="2948"/>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color w:val="173F65"/>
                <w:sz w:val="17"/>
              </w:rPr>
              <w:t>Version et date de sortie</w:t>
            </w:r>
          </w:p>
        </w:tc>
        <w:tc>
          <w:tcPr>
            <w:tcW w:type="dxa" w:w="6860"/>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[VERSION / DATE / ARCHIVE LOCATION]</w:t>
            </w:r>
          </w:p>
        </w:tc>
      </w:tr>
    </w:tbl>
    <w:p>
      <w:pPr>
        <w:spacing w:after="0"/>
      </w:pPr>
    </w:p>
    <w:p>
      <w:pPr>
        <w:pStyle w:val="Heading1"/>
      </w:pPr>
      <w:r>
        <w:t>Contenu suggéré</w:t>
      </w:r>
    </w:p>
    <w:tbl>
      <w:tblPr>
        <w:tblW w:type="auto" w:w="0"/>
        <w:jc w:val="center"/>
        <w:tblLook w:firstColumn="1" w:firstRow="1" w:lastColumn="0" w:lastRow="0" w:noHBand="0" w:noVBand="1" w:val="04A0"/>
        <w:tblLayout w:type="fixed"/>
      </w:tblPr>
      <w:tblGrid>
        <w:gridCol w:w="3345"/>
        <w:gridCol w:w="3345"/>
        <w:gridCol w:w="3345"/>
      </w:tblGrid>
      <w:tr>
        <w:trPr>
          <w:tblHeader w:val="true"/>
        </w:trPr>
        <w:tc>
          <w:tcPr>
            <w:tcW w:type="dxa" w:w="567"/>
            <w:shd w:fill="173F65"/>
            <w:tcMar>
              <w:top w:w="90" w:type="dxa"/>
              <w:start w:w="80" w:type="dxa"/>
              <w:bottom w:w="90" w:type="dxa"/>
              <w:end w:w="80" w:type="dxa"/>
            </w:tcMar>
            <w:tcBorders>
              <w:top w:val="single" w:sz="4" w:color="C8D2DC"/>
              <w:left w:val="single" w:sz="4" w:color="C8D2DC"/>
              <w:bottom w:val="single" w:sz="4" w:color="C8D2DC"/>
              <w:right w:val="single" w:sz="4" w:color="C8D2DC"/>
            </w:tcBorders>
          </w:tcPr>
          <w:p>
            <w:pPr>
              <w:spacing w:before="0" w:after="0" w:line="240" w:lineRule="auto"/>
              <w:jc w:val="left"/>
            </w:pPr>
            <w:r>
              <w:rPr>
                <w:rFonts w:ascii="Lato" w:hAnsi="Lato" w:eastAsia="Lato"/>
                <w:b/>
                <w:color w:val="FFFFFF"/>
                <w:sz w:val="18"/>
              </w:rPr>
              <w:t>#</w:t>
            </w:r>
          </w:p>
        </w:tc>
        <w:tc>
          <w:tcPr>
            <w:tcW w:type="dxa" w:w="6520"/>
            <w:shd w:fill="173F65"/>
            <w:tcMar>
              <w:top w:w="90" w:type="dxa"/>
              <w:start w:w="80" w:type="dxa"/>
              <w:bottom w:w="90" w:type="dxa"/>
              <w:end w:w="80" w:type="dxa"/>
            </w:tcMar>
            <w:tcBorders>
              <w:top w:val="single" w:sz="4" w:color="C8D2DC"/>
              <w:left w:val="single" w:sz="4" w:color="C8D2DC"/>
              <w:bottom w:val="single" w:sz="4" w:color="C8D2DC"/>
              <w:right w:val="single" w:sz="4" w:color="C8D2DC"/>
            </w:tcBorders>
          </w:tcPr>
          <w:p>
            <w:pPr>
              <w:spacing w:before="0" w:after="0" w:line="240" w:lineRule="auto"/>
              <w:jc w:val="left"/>
            </w:pPr>
            <w:r>
              <w:rPr>
                <w:rFonts w:ascii="Lato" w:hAnsi="Lato" w:eastAsia="Lato"/>
                <w:b/>
                <w:color w:val="FFFFFF"/>
                <w:sz w:val="18"/>
              </w:rPr>
              <w:t>Section</w:t>
            </w:r>
          </w:p>
        </w:tc>
        <w:tc>
          <w:tcPr>
            <w:tcW w:type="dxa" w:w="2721"/>
            <w:shd w:fill="173F65"/>
            <w:tcMar>
              <w:top w:w="90" w:type="dxa"/>
              <w:start w:w="80" w:type="dxa"/>
              <w:bottom w:w="90" w:type="dxa"/>
              <w:end w:w="80" w:type="dxa"/>
            </w:tcMar>
            <w:tcBorders>
              <w:top w:val="single" w:sz="4" w:color="C8D2DC"/>
              <w:left w:val="single" w:sz="4" w:color="C8D2DC"/>
              <w:bottom w:val="single" w:sz="4" w:color="C8D2DC"/>
              <w:right w:val="single" w:sz="4" w:color="C8D2DC"/>
            </w:tcBorders>
          </w:tcPr>
          <w:p>
            <w:pPr>
              <w:spacing w:before="0" w:after="0" w:line="240" w:lineRule="auto"/>
              <w:jc w:val="left"/>
            </w:pPr>
            <w:r>
              <w:rPr>
                <w:rFonts w:ascii="Lato" w:hAnsi="Lato" w:eastAsia="Lato"/>
                <w:b/>
                <w:color w:val="FFFFFF"/>
                <w:sz w:val="18"/>
              </w:rPr>
              <w:t>Localisation de travail / pages</w:t>
            </w:r>
          </w:p>
        </w:tc>
      </w:tr>
      <w:tr>
        <w:tc>
          <w:tcPr>
            <w:tcW w:type="dxa" w:w="567"/>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1</w:t>
            </w:r>
          </w:p>
        </w:tc>
        <w:tc>
          <w:tcPr>
            <w:tcW w:type="dxa" w:w="6520"/>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Base de préparation et déclaration de conformité</w:t>
            </w:r>
          </w:p>
        </w:tc>
        <w:tc>
          <w:tcPr>
            <w:tcW w:type="dxa" w:w="272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r>
        <w:tc>
          <w:tcPr>
            <w:tcW w:type="dxa" w:w="567"/>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2</w:t>
            </w:r>
          </w:p>
        </w:tc>
        <w:tc>
          <w:tcPr>
            <w:tcW w:type="dxa" w:w="6520"/>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Gouvernance</w:t>
            </w:r>
          </w:p>
        </w:tc>
        <w:tc>
          <w:tcPr>
            <w:tcW w:type="dxa" w:w="272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r>
        <w:tc>
          <w:tcPr>
            <w:tcW w:type="dxa" w:w="567"/>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3</w:t>
            </w:r>
          </w:p>
        </w:tc>
        <w:tc>
          <w:tcPr>
            <w:tcW w:type="dxa" w:w="6520"/>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Risques et opportunités liés au climat</w:t>
            </w:r>
          </w:p>
        </w:tc>
        <w:tc>
          <w:tcPr>
            <w:tcW w:type="dxa" w:w="272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r>
        <w:tc>
          <w:tcPr>
            <w:tcW w:type="dxa" w:w="567"/>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4</w:t>
            </w:r>
          </w:p>
        </w:tc>
        <w:tc>
          <w:tcPr>
            <w:tcW w:type="dxa" w:w="6520"/>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Stratégie, activités et ressources de transition</w:t>
            </w:r>
          </w:p>
        </w:tc>
        <w:tc>
          <w:tcPr>
            <w:tcW w:type="dxa" w:w="272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r>
        <w:tc>
          <w:tcPr>
            <w:tcW w:type="dxa" w:w="567"/>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5</w:t>
            </w:r>
          </w:p>
        </w:tc>
        <w:tc>
          <w:tcPr>
            <w:tcW w:type="dxa" w:w="6520"/>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Analyse des scénarios et résilience climatique</w:t>
            </w:r>
          </w:p>
        </w:tc>
        <w:tc>
          <w:tcPr>
            <w:tcW w:type="dxa" w:w="272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r>
        <w:tc>
          <w:tcPr>
            <w:tcW w:type="dxa" w:w="567"/>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6</w:t>
            </w:r>
          </w:p>
        </w:tc>
        <w:tc>
          <w:tcPr>
            <w:tcW w:type="dxa" w:w="6520"/>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Effets financiers actuels et prévus</w:t>
            </w:r>
          </w:p>
        </w:tc>
        <w:tc>
          <w:tcPr>
            <w:tcW w:type="dxa" w:w="272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r>
        <w:tc>
          <w:tcPr>
            <w:tcW w:type="dxa" w:w="567"/>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7</w:t>
            </w:r>
          </w:p>
        </w:tc>
        <w:tc>
          <w:tcPr>
            <w:tcW w:type="dxa" w:w="6520"/>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Gestion des risques</w:t>
            </w:r>
          </w:p>
        </w:tc>
        <w:tc>
          <w:tcPr>
            <w:tcW w:type="dxa" w:w="272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r>
        <w:tc>
          <w:tcPr>
            <w:tcW w:type="dxa" w:w="567"/>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8</w:t>
            </w:r>
          </w:p>
        </w:tc>
        <w:tc>
          <w:tcPr>
            <w:tcW w:type="dxa" w:w="6520"/>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Mesures et objectifs climatiques</w:t>
            </w:r>
          </w:p>
        </w:tc>
        <w:tc>
          <w:tcPr>
            <w:tcW w:type="dxa" w:w="272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r>
        <w:tc>
          <w:tcPr>
            <w:tcW w:type="dxa" w:w="567"/>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9</w:t>
            </w:r>
          </w:p>
        </w:tc>
        <w:tc>
          <w:tcPr>
            <w:tcW w:type="dxa" w:w="6520"/>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GHG émissions et émissions financées</w:t>
            </w:r>
          </w:p>
        </w:tc>
        <w:tc>
          <w:tcPr>
            <w:tcW w:type="dxa" w:w="272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r>
        <w:tc>
          <w:tcPr>
            <w:tcW w:type="dxa" w:w="567"/>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10</w:t>
            </w:r>
          </w:p>
        </w:tc>
        <w:tc>
          <w:tcPr>
            <w:tcW w:type="dxa" w:w="6520"/>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Jugements, estimations, dispositions et modifications</w:t>
            </w:r>
          </w:p>
        </w:tc>
        <w:tc>
          <w:tcPr>
            <w:tcW w:type="dxa" w:w="272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r>
        <w:tc>
          <w:tcPr>
            <w:tcW w:type="dxa" w:w="567"/>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11</w:t>
            </w:r>
          </w:p>
        </w:tc>
        <w:tc>
          <w:tcPr>
            <w:tcW w:type="dxa" w:w="6520"/>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Indice de divulgation et références croisées</w:t>
            </w:r>
          </w:p>
        </w:tc>
        <w:tc>
          <w:tcPr>
            <w:tcW w:type="dxa" w:w="272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bl>
    <w:p>
      <w:pPr>
        <w:spacing w:after="0"/>
      </w:pPr>
    </w:p>
    <w:p>
      <w:pPr>
        <w:pStyle w:val="Heading1"/>
      </w:pPr>
      <w:r>
        <w:t>1- base de préparation et déclaration de conformité</w:t>
      </w:r>
    </w:p>
    <w:tbl>
      <w:tblPr>
        <w:tblW w:type="auto" w:w="0"/>
        <w:jc w:val="center"/>
        <w:tblLook w:firstColumn="1" w:firstRow="1" w:lastColumn="0" w:lastRow="0" w:noHBand="0" w:noVBand="1" w:val="04A0"/>
        <w:tblLayout w:type="fixed"/>
      </w:tblPr>
      <w:tblGrid>
        <w:gridCol w:w="10036"/>
      </w:tblGrid>
      <w:tr>
        <w:trPr>
          <w:cantSplit/>
        </w:trPr>
        <w:tc>
          <w:tcPr>
            <w:tcW w:type="dxa" w:w="10036"/>
            <w:shd w:fill="EAF1F7"/>
            <w:tcMar>
              <w:top w:w="120" w:type="dxa"/>
              <w:start w:w="150" w:type="dxa"/>
              <w:bottom w:w="120" w:type="dxa"/>
              <w:end w:w="150" w:type="dxa"/>
            </w:tcMar>
            <w:tcBorders>
              <w:left w:val="single" w:sz="18" w:color="173F65"/>
            </w:tcBorders>
          </w:tcPr>
          <w:p>
            <w:pPr>
              <w:spacing w:before="0" w:after="60" w:line="240" w:lineRule="auto"/>
            </w:pPr>
            <w:r>
              <w:rPr>
                <w:rFonts w:ascii="Lato" w:hAnsi="Lato" w:eastAsia="Lato"/>
                <w:b/>
                <w:color w:val="173F65"/>
                <w:sz w:val="17"/>
              </w:rPr>
              <w:t>PURPOSE</w:t>
            </w:r>
          </w:p>
          <w:p>
            <w:pPr>
              <w:spacing w:before="0" w:after="0" w:line="259" w:lineRule="auto"/>
            </w:pPr>
            <w:r>
              <w:rPr>
                <w:rFonts w:ascii="Lato" w:hAnsi="Lato" w:eastAsia="Lato"/>
                <w:b w:val="0"/>
                <w:color w:val="173F65"/>
                <w:sz w:val="18"/>
              </w:rPr>
              <w:t>Expliquer quel rapport a été préparé, pour quelle entité et période, comment des informations importantes ont été sélectionnées, où sont situées les informations et quelles. UK Les dispositions ou les routes de déclaration affectent la demande.</w:t>
            </w:r>
          </w:p>
        </w:tc>
      </w:tr>
    </w:tbl>
    <w:p>
      <w:pPr>
        <w:spacing w:after="0"/>
      </w:pPr>
    </w:p>
    <w:p>
      <w:pPr>
        <w:pStyle w:val="Heading2"/>
      </w:pPr>
      <w:r>
        <w:t>1.1 Base de déclaration</w:t>
      </w:r>
    </w:p>
    <w:p>
      <w:pPr>
        <w:spacing w:before="0" w:after="80" w:line="269" w:lineRule="auto"/>
      </w:pPr>
      <w:r>
        <w:rPr>
          <w:rFonts w:ascii="Lato" w:hAnsi="Lato" w:eastAsia="Lato"/>
          <w:i w:val="0"/>
          <w:color w:val="26384A"/>
          <w:sz w:val="19"/>
        </w:rPr>
        <w:t>[INSERT: entité déclarante; même entité que les états financiers; période de déclaration; monnaie et unités, le cas échéant; si l'information est consolidée; acquisitions/dispositions matérielles; distinctions de frontières spécifiques au climat.]</w:t>
      </w:r>
    </w:p>
    <w:p>
      <w:pPr>
        <w:pStyle w:val="Heading2"/>
      </w:pPr>
      <w:r>
        <w:t>1.2 La matérialité</w:t>
      </w:r>
    </w:p>
    <w:p>
      <w:pPr>
        <w:spacing w:before="0" w:after="80" w:line="269" w:lineRule="auto"/>
      </w:pPr>
      <w:r>
        <w:rPr>
          <w:rFonts w:ascii="Lato" w:hAnsi="Lato" w:eastAsia="Lato"/>
          <w:i w:val="0"/>
          <w:color w:val="26384A"/>
          <w:sz w:val="19"/>
        </w:rPr>
        <w:t>[INSERT: comment les risques et opportunités importants liés au climat ont été identifiés pour les utilisateurs primaires; nature et ampleur; sources; gouvernance; changements à partir d'une évaluation antérieure.]</w:t>
      </w:r>
    </w:p>
    <w:p>
      <w:pPr>
        <w:pStyle w:val="Heading2"/>
      </w:pPr>
      <w:r>
        <w:t>1.3 Sources et industries utilisées</w:t>
      </w:r>
    </w:p>
    <w:p>
      <w:pPr>
        <w:spacing w:before="0" w:after="80" w:line="269" w:lineRule="auto"/>
      </w:pPr>
      <w:r>
        <w:rPr>
          <w:rFonts w:ascii="Lato" w:hAnsi="Lato" w:eastAsia="Lato"/>
          <w:i w:val="0"/>
          <w:color w:val="26384A"/>
          <w:sz w:val="19"/>
        </w:rPr>
        <w:t>[INSERT: UK Les sources de SRS; industries et orientations effectivement appliquées; indicateurs développés par l'entité; versions source.]</w:t>
      </w:r>
    </w:p>
    <w:p>
      <w:pPr>
        <w:pStyle w:val="Heading2"/>
      </w:pPr>
      <w:r>
        <w:t>1.4 Localisation et références croisées</w:t>
      </w:r>
    </w:p>
    <w:p>
      <w:pPr>
        <w:spacing w:before="0" w:after="80" w:line="269" w:lineRule="auto"/>
      </w:pPr>
      <w:r>
        <w:rPr>
          <w:rFonts w:ascii="Lato" w:hAnsi="Lato" w:eastAsia="Lato"/>
          <w:i w:val="0"/>
          <w:color w:val="26384A"/>
          <w:sz w:val="19"/>
        </w:rPr>
        <w:t>[INSERT: localisation du rapport annuel; politique d'incorporation par référence; documents/pages de référence exacts; disponibilité simultanée et contrôle des archives.]</w:t>
      </w:r>
    </w:p>
    <w:p>
      <w:pPr>
        <w:pStyle w:val="Heading2"/>
      </w:pPr>
      <w:r>
        <w:t>1.5 Les dispositions et la déclaration de conformité</w:t>
      </w:r>
    </w:p>
    <w:p>
      <w:pPr>
        <w:spacing w:before="0" w:after="80" w:line="269" w:lineRule="auto"/>
      </w:pPr>
      <w:r>
        <w:rPr>
          <w:rFonts w:ascii="Lato" w:hAnsi="Lato" w:eastAsia="Lato"/>
          <w:i w:val="0"/>
          <w:color w:val="26384A"/>
          <w:sz w:val="19"/>
        </w:rPr>
        <w:t>[INSERT: exact] UK SRS E3/C3/C4 ou autre disposition utilisée; condition; information affectée; effet comparatif; restriction de route obligatoire; effet sur les UK SRS S1/S2 et tout autre IFRS demande.]</w:t>
      </w:r>
    </w:p>
    <w:p>
      <w:pPr>
        <w:pStyle w:val="Heading2"/>
      </w:pPr>
      <w:r>
        <w:t>Les indications de preuve et les instructions de contrôle</w:t>
      </w:r>
    </w:p>
    <w:p>
      <w:pPr>
        <w:pStyle w:val="ListBullet"/>
        <w:spacing w:before="0" w:after="60" w:line="259" w:lineRule="auto"/>
      </w:pPr>
      <w:r>
        <w:rPr>
          <w:rFonts w:ascii="Lato" w:hAnsi="Lato" w:eastAsia="Lato"/>
          <w:color w:val="26384A"/>
          <w:sz w:val="19"/>
        </w:rPr>
        <w:t>☐ Les entités déclarantes reconciliées avec les états financiers.</w:t>
      </w:r>
    </w:p>
    <w:p>
      <w:pPr>
        <w:pStyle w:val="ListBullet"/>
        <w:spacing w:before="0" w:after="60" w:line="259" w:lineRule="auto"/>
      </w:pPr>
      <w:r>
        <w:rPr>
          <w:rFonts w:ascii="Lato" w:hAnsi="Lato" w:eastAsia="Lato"/>
          <w:color w:val="26384A"/>
          <w:sz w:val="19"/>
        </w:rPr>
        <w:t>☐ Le dossier de la matérialité approuvé.</w:t>
      </w:r>
    </w:p>
    <w:p>
      <w:pPr>
        <w:pStyle w:val="ListBullet"/>
        <w:spacing w:before="0" w:after="60" w:line="259" w:lineRule="auto"/>
      </w:pPr>
      <w:r>
        <w:rPr>
          <w:rFonts w:ascii="Lato" w:hAnsi="Lato" w:eastAsia="Lato"/>
          <w:color w:val="26384A"/>
          <w:sz w:val="19"/>
        </w:rPr>
        <w:t>☐ L'enregistrement des sources et de l'industrie est complet.</w:t>
      </w:r>
    </w:p>
    <w:p>
      <w:pPr>
        <w:pStyle w:val="ListBullet"/>
        <w:spacing w:before="0" w:after="60" w:line="259" w:lineRule="auto"/>
      </w:pPr>
      <w:r>
        <w:rPr>
          <w:rFonts w:ascii="Lato" w:hAnsi="Lato" w:eastAsia="Lato"/>
          <w:color w:val="26384A"/>
          <w:sz w:val="19"/>
        </w:rPr>
        <w:t>☐ Les références croisées testées à la sortie.</w:t>
      </w:r>
    </w:p>
    <w:p>
      <w:pPr>
        <w:pStyle w:val="ListBullet"/>
        <w:spacing w:before="0" w:after="60" w:line="259" w:lineRule="auto"/>
      </w:pPr>
      <w:r>
        <w:rPr>
          <w:rFonts w:ascii="Lato" w:hAnsi="Lato" w:eastAsia="Lato"/>
          <w:color w:val="26384A"/>
          <w:sz w:val="19"/>
        </w:rPr>
        <w:t>☐ Accord de fourniture et de demande approuvé.</w:t>
      </w:r>
    </w:p>
    <w:p>
      <w:pPr>
        <w:pStyle w:val="Heading1"/>
      </w:pPr>
      <w:r>
        <w:t>2- gouvernance</w:t>
      </w:r>
    </w:p>
    <w:tbl>
      <w:tblPr>
        <w:tblW w:type="auto" w:w="0"/>
        <w:jc w:val="center"/>
        <w:tblLook w:firstColumn="1" w:firstRow="1" w:lastColumn="0" w:lastRow="0" w:noHBand="0" w:noVBand="1" w:val="04A0"/>
        <w:tblLayout w:type="fixed"/>
      </w:tblPr>
      <w:tblGrid>
        <w:gridCol w:w="10036"/>
      </w:tblGrid>
      <w:tr>
        <w:trPr>
          <w:cantSplit/>
        </w:trPr>
        <w:tc>
          <w:tcPr>
            <w:tcW w:type="dxa" w:w="10036"/>
            <w:shd w:fill="EAF1F7"/>
            <w:tcMar>
              <w:top w:w="120" w:type="dxa"/>
              <w:start w:w="150" w:type="dxa"/>
              <w:bottom w:w="120" w:type="dxa"/>
              <w:end w:w="150" w:type="dxa"/>
            </w:tcMar>
            <w:tcBorders>
              <w:left w:val="single" w:sz="18" w:color="173F65"/>
            </w:tcBorders>
          </w:tcPr>
          <w:p>
            <w:pPr>
              <w:spacing w:before="0" w:after="60" w:line="240" w:lineRule="auto"/>
            </w:pPr>
            <w:r>
              <w:rPr>
                <w:rFonts w:ascii="Lato" w:hAnsi="Lato" w:eastAsia="Lato"/>
                <w:b/>
                <w:color w:val="173F65"/>
                <w:sz w:val="17"/>
              </w:rPr>
              <w:t>PURPOSE</w:t>
            </w:r>
          </w:p>
          <w:p>
            <w:pPr>
              <w:spacing w:before="0" w:after="0" w:line="259" w:lineRule="auto"/>
            </w:pPr>
            <w:r>
              <w:rPr>
                <w:rFonts w:ascii="Lato" w:hAnsi="Lato" w:eastAsia="Lato"/>
                <w:b w:val="0"/>
                <w:color w:val="173F65"/>
                <w:sz w:val="18"/>
              </w:rPr>
              <w:t>Décrire les processus de surveillance et de gestion réels, pas seulement la structure de gouvernance.</w:t>
            </w:r>
          </w:p>
        </w:tc>
      </w:tr>
    </w:tbl>
    <w:p>
      <w:pPr>
        <w:spacing w:after="0"/>
      </w:pPr>
    </w:p>
    <w:p>
      <w:pPr>
        <w:pStyle w:val="Heading2"/>
      </w:pPr>
      <w:r>
        <w:t>2.1 Surveillance de l'organisme de gouvernance</w:t>
      </w:r>
    </w:p>
    <w:p>
      <w:pPr>
        <w:spacing w:before="0" w:after="80" w:line="269" w:lineRule="auto"/>
      </w:pPr>
      <w:r>
        <w:rPr>
          <w:rFonts w:ascii="Lato" w:hAnsi="Lato" w:eastAsia="Lato"/>
          <w:i w:val="0"/>
          <w:color w:val="26384A"/>
          <w:sz w:val="19"/>
        </w:rPr>
        <w:t>[INSERT: mandat du conseil/comité; responsabilités; information et fréquence; compétences; décisions stratégiques et de transaction; suivi des objectifs; décisions au cours de la période; changements.]</w:t>
      </w:r>
    </w:p>
    <w:p>
      <w:pPr>
        <w:pStyle w:val="Heading2"/>
      </w:pPr>
      <w:r>
        <w:t>2.2 Rôle et contrôle de la gestion</w:t>
      </w:r>
    </w:p>
    <w:p>
      <w:pPr>
        <w:spacing w:before="0" w:after="80" w:line="269" w:lineRule="auto"/>
      </w:pPr>
      <w:r>
        <w:rPr>
          <w:rFonts w:ascii="Lato" w:hAnsi="Lato" w:eastAsia="Lato"/>
          <w:i w:val="0"/>
          <w:color w:val="26384A"/>
          <w:sz w:val="19"/>
        </w:rPr>
        <w:t>[INSERT: rôles de gestion nommés; lignes de rapport; responsabilités en matière de données et de contrôle; escalade; comités internes; représentations de la direction.]</w:t>
      </w:r>
    </w:p>
    <w:p>
      <w:pPr>
        <w:pStyle w:val="Heading2"/>
      </w:pPr>
      <w:r>
        <w:t>2.3 Récompensation</w:t>
      </w:r>
    </w:p>
    <w:p>
      <w:pPr>
        <w:spacing w:before="0" w:after="80" w:line="269" w:lineRule="auto"/>
      </w:pPr>
      <w:r>
        <w:rPr>
          <w:rFonts w:ascii="Lato" w:hAnsi="Lato" w:eastAsia="Lato"/>
          <w:i w:val="0"/>
          <w:color w:val="26384A"/>
          <w:sz w:val="19"/>
        </w:rPr>
        <w:t>[INSERT: si et comment les considérations climatiques entrent dans la rémunération; population; métrique; pondération; résultat; approbation de la gouvernance.]</w:t>
      </w:r>
    </w:p>
    <w:p>
      <w:pPr>
        <w:pStyle w:val="Heading2"/>
      </w:pPr>
      <w:r>
        <w:t>Les indications de preuve et les instructions de contrôle</w:t>
      </w:r>
    </w:p>
    <w:p>
      <w:pPr>
        <w:pStyle w:val="ListBullet"/>
        <w:spacing w:before="0" w:after="60" w:line="259" w:lineRule="auto"/>
      </w:pPr>
      <w:r>
        <w:rPr>
          <w:rFonts w:ascii="Lato" w:hAnsi="Lato" w:eastAsia="Lato"/>
          <w:color w:val="26384A"/>
          <w:sz w:val="19"/>
        </w:rPr>
        <w:t>☐ Mandats et termes du comité en vigueur.</w:t>
      </w:r>
    </w:p>
    <w:p>
      <w:pPr>
        <w:pStyle w:val="ListBullet"/>
        <w:spacing w:before="0" w:after="60" w:line="259" w:lineRule="auto"/>
      </w:pPr>
      <w:r>
        <w:rPr>
          <w:rFonts w:ascii="Lato" w:hAnsi="Lato" w:eastAsia="Lato"/>
          <w:color w:val="26384A"/>
          <w:sz w:val="19"/>
        </w:rPr>
        <w:t>☐ Les documents du conseil et les procès-verbaux appuyent les demandes.</w:t>
      </w:r>
    </w:p>
    <w:p>
      <w:pPr>
        <w:pStyle w:val="ListBullet"/>
        <w:spacing w:before="0" w:after="60" w:line="259" w:lineRule="auto"/>
      </w:pPr>
      <w:r>
        <w:rPr>
          <w:rFonts w:ascii="Lato" w:hAnsi="Lato" w:eastAsia="Lato"/>
          <w:color w:val="26384A"/>
          <w:sz w:val="19"/>
        </w:rPr>
        <w:t>☐ Les descriptions des rôles de gestion correspondent à l'exploitation réelle.</w:t>
      </w:r>
    </w:p>
    <w:p>
      <w:pPr>
        <w:pStyle w:val="ListBullet"/>
        <w:spacing w:before="0" w:after="60" w:line="259" w:lineRule="auto"/>
      </w:pPr>
      <w:r>
        <w:rPr>
          <w:rFonts w:ascii="Lato" w:hAnsi="Lato" w:eastAsia="Lato"/>
          <w:color w:val="26384A"/>
          <w:sz w:val="19"/>
        </w:rPr>
        <w:t>☐ Les données sur les rémunérations reconciliées et approuvées.</w:t>
      </w:r>
    </w:p>
    <w:p>
      <w:pPr>
        <w:pStyle w:val="Heading1"/>
      </w:pPr>
      <w:r>
        <w:t>3- Risques et opportunités liés au climat</w:t>
      </w:r>
    </w:p>
    <w:tbl>
      <w:tblPr>
        <w:tblW w:type="auto" w:w="0"/>
        <w:jc w:val="center"/>
        <w:tblLook w:firstColumn="1" w:firstRow="1" w:lastColumn="0" w:lastRow="0" w:noHBand="0" w:noVBand="1" w:val="04A0"/>
        <w:tblLayout w:type="fixed"/>
      </w:tblPr>
      <w:tblGrid>
        <w:gridCol w:w="10036"/>
      </w:tblGrid>
      <w:tr>
        <w:trPr>
          <w:cantSplit/>
        </w:trPr>
        <w:tc>
          <w:tcPr>
            <w:tcW w:type="dxa" w:w="10036"/>
            <w:shd w:fill="EAF1F7"/>
            <w:tcMar>
              <w:top w:w="120" w:type="dxa"/>
              <w:start w:w="150" w:type="dxa"/>
              <w:bottom w:w="120" w:type="dxa"/>
              <w:end w:w="150" w:type="dxa"/>
            </w:tcMar>
            <w:tcBorders>
              <w:left w:val="single" w:sz="18" w:color="173F65"/>
            </w:tcBorders>
          </w:tcPr>
          <w:p>
            <w:pPr>
              <w:spacing w:before="0" w:after="60" w:line="240" w:lineRule="auto"/>
            </w:pPr>
            <w:r>
              <w:rPr>
                <w:rFonts w:ascii="Lato" w:hAnsi="Lato" w:eastAsia="Lato"/>
                <w:b/>
                <w:color w:val="173F65"/>
                <w:sz w:val="17"/>
              </w:rPr>
              <w:t>PURPOSE</w:t>
            </w:r>
          </w:p>
          <w:p>
            <w:pPr>
              <w:spacing w:before="0" w:after="0" w:line="259" w:lineRule="auto"/>
            </w:pPr>
            <w:r>
              <w:rPr>
                <w:rFonts w:ascii="Lato" w:hAnsi="Lato" w:eastAsia="Lato"/>
                <w:b w:val="0"/>
                <w:color w:val="173F65"/>
                <w:sz w:val="18"/>
              </w:rPr>
              <w:t>Identifier les risques physiques et de transition importants et les opportunités climatiques, leurs horizons temporels, leurs concentrations et leurs voies de transmission.</w:t>
            </w:r>
          </w:p>
        </w:tc>
      </w:tr>
    </w:tbl>
    <w:p>
      <w:pPr>
        <w:spacing w:after="0"/>
      </w:pPr>
    </w:p>
    <w:p>
      <w:pPr>
        <w:pStyle w:val="Heading2"/>
      </w:pPr>
      <w:r>
        <w:t>3.1 Horizons temporels</w:t>
      </w:r>
    </w:p>
    <w:p>
      <w:pPr>
        <w:spacing w:before="0" w:after="80" w:line="269" w:lineRule="auto"/>
      </w:pPr>
      <w:r>
        <w:rPr>
          <w:rFonts w:ascii="Lato" w:hAnsi="Lato" w:eastAsia="Lato"/>
          <w:i w:val="0"/>
          <w:color w:val="26384A"/>
          <w:sz w:val="19"/>
        </w:rPr>
        <w:t>[INSERT: horizons à court, moyen et long terme datés et relation avec les cycles de planification, la durée de vie des actifs et les décisions stratégiques.]</w:t>
      </w:r>
    </w:p>
    <w:p>
      <w:pPr>
        <w:pStyle w:val="Heading2"/>
      </w:pPr>
      <w:r>
        <w:t>3.2 Tableau des matières matérielles</w:t>
      </w:r>
    </w:p>
    <w:p>
      <w:pPr>
        <w:spacing w:before="0" w:after="80" w:line="269" w:lineRule="auto"/>
      </w:pPr>
      <w:r>
        <w:rPr>
          <w:rFonts w:ascii="Lato" w:hAnsi="Lato" w:eastAsia="Lato"/>
          <w:i w:val="0"/>
          <w:color w:val="26384A"/>
          <w:sz w:val="19"/>
        </w:rPr>
        <w:t>[TABLE INSERT: ID; risque/opportunité; physique/transition/opportunité, horizon temporel; géographie/activité/chaîne de valeur; probabilité/magnitude; voie financière; propriétaire; indicateur de suivi.]</w:t>
      </w:r>
    </w:p>
    <w:p>
      <w:pPr>
        <w:pStyle w:val="Heading2"/>
      </w:pPr>
      <w:r>
        <w:t>3.3 Changements par rapport à la période précédente</w:t>
      </w:r>
    </w:p>
    <w:p>
      <w:pPr>
        <w:spacing w:before="0" w:after="80" w:line="269" w:lineRule="auto"/>
      </w:pPr>
      <w:r>
        <w:rPr>
          <w:rFonts w:ascii="Lato" w:hAnsi="Lato" w:eastAsia="Lato"/>
          <w:i w:val="0"/>
          <w:color w:val="26384A"/>
          <w:sz w:val="19"/>
        </w:rPr>
        <w:t>[INSERT: nouveaux, modifiés, ré-priorités ou supprimés.]</w:t>
      </w:r>
    </w:p>
    <w:p>
      <w:pPr>
        <w:pStyle w:val="Heading2"/>
      </w:pPr>
      <w:r>
        <w:t>Les indications de preuve et les instructions de contrôle</w:t>
      </w:r>
    </w:p>
    <w:p>
      <w:pPr>
        <w:pStyle w:val="ListBullet"/>
        <w:spacing w:before="0" w:after="60" w:line="259" w:lineRule="auto"/>
      </w:pPr>
      <w:r>
        <w:rPr>
          <w:rFonts w:ascii="Lato" w:hAnsi="Lato" w:eastAsia="Lato"/>
          <w:color w:val="26384A"/>
          <w:sz w:val="19"/>
        </w:rPr>
        <w:t>☐ Le registre des risques et opportunités est complet.</w:t>
      </w:r>
    </w:p>
    <w:p>
      <w:pPr>
        <w:pStyle w:val="ListBullet"/>
        <w:spacing w:before="0" w:after="60" w:line="259" w:lineRule="auto"/>
      </w:pPr>
      <w:r>
        <w:rPr>
          <w:rFonts w:ascii="Lato" w:hAnsi="Lato" w:eastAsia="Lato"/>
          <w:color w:val="26384A"/>
          <w:sz w:val="19"/>
        </w:rPr>
        <w:t>☐ La logique de la matérialité est conservée.</w:t>
      </w:r>
    </w:p>
    <w:p>
      <w:pPr>
        <w:pStyle w:val="ListBullet"/>
        <w:spacing w:before="0" w:after="60" w:line="259" w:lineRule="auto"/>
      </w:pPr>
      <w:r>
        <w:rPr>
          <w:rFonts w:ascii="Lato" w:hAnsi="Lato" w:eastAsia="Lato"/>
          <w:color w:val="26384A"/>
          <w:sz w:val="19"/>
        </w:rPr>
        <w:t>☐ Concentrations et liens de chaîne de valeur testés.</w:t>
      </w:r>
    </w:p>
    <w:p>
      <w:pPr>
        <w:pStyle w:val="ListBullet"/>
        <w:spacing w:before="0" w:after="60" w:line="259" w:lineRule="auto"/>
      </w:pPr>
      <w:r>
        <w:rPr>
          <w:rFonts w:ascii="Lato" w:hAnsi="Lato" w:eastAsia="Lato"/>
          <w:color w:val="26384A"/>
          <w:sz w:val="19"/>
        </w:rPr>
        <w:t>☐ Des itinéraires financiers cartographiés.</w:t>
      </w:r>
    </w:p>
    <w:p>
      <w:pPr>
        <w:pStyle w:val="Heading1"/>
      </w:pPr>
      <w:r>
        <w:t>4- stratégie, activités et ressources de transition</w:t>
      </w:r>
    </w:p>
    <w:tbl>
      <w:tblPr>
        <w:tblW w:type="auto" w:w="0"/>
        <w:jc w:val="center"/>
        <w:tblLook w:firstColumn="1" w:firstRow="1" w:lastColumn="0" w:lastRow="0" w:noHBand="0" w:noVBand="1" w:val="04A0"/>
        <w:tblLayout w:type="fixed"/>
      </w:tblPr>
      <w:tblGrid>
        <w:gridCol w:w="10036"/>
      </w:tblGrid>
      <w:tr>
        <w:trPr>
          <w:cantSplit/>
        </w:trPr>
        <w:tc>
          <w:tcPr>
            <w:tcW w:type="dxa" w:w="10036"/>
            <w:shd w:fill="EAF1F7"/>
            <w:tcMar>
              <w:top w:w="120" w:type="dxa"/>
              <w:start w:w="150" w:type="dxa"/>
              <w:bottom w:w="120" w:type="dxa"/>
              <w:end w:w="150" w:type="dxa"/>
            </w:tcMar>
            <w:tcBorders>
              <w:left w:val="single" w:sz="18" w:color="173F65"/>
            </w:tcBorders>
          </w:tcPr>
          <w:p>
            <w:pPr>
              <w:spacing w:before="0" w:after="60" w:line="240" w:lineRule="auto"/>
            </w:pPr>
            <w:r>
              <w:rPr>
                <w:rFonts w:ascii="Lato" w:hAnsi="Lato" w:eastAsia="Lato"/>
                <w:b/>
                <w:color w:val="173F65"/>
                <w:sz w:val="17"/>
              </w:rPr>
              <w:t>PURPOSE</w:t>
            </w:r>
          </w:p>
          <w:p>
            <w:pPr>
              <w:spacing w:before="0" w:after="0" w:line="259" w:lineRule="auto"/>
            </w:pPr>
            <w:r>
              <w:rPr>
                <w:rFonts w:ascii="Lato" w:hAnsi="Lato" w:eastAsia="Lato"/>
                <w:b w:val="0"/>
                <w:color w:val="173F65"/>
                <w:sz w:val="18"/>
              </w:rPr>
              <w:t>Expliquer comment les questions climatiques importantes affectent le modèle d'entreprise, la chaîne de valeur, la prise de décision et l'allocation des ressources.</w:t>
            </w:r>
          </w:p>
        </w:tc>
      </w:tr>
    </w:tbl>
    <w:p>
      <w:pPr>
        <w:spacing w:after="0"/>
      </w:pPr>
    </w:p>
    <w:p>
      <w:pPr>
        <w:pStyle w:val="Heading2"/>
      </w:pPr>
      <w:r>
        <w:t>4.1 Modèle d'affaires et effets de la chaîne de valeur</w:t>
      </w:r>
    </w:p>
    <w:p>
      <w:pPr>
        <w:spacing w:before="0" w:after="80" w:line="269" w:lineRule="auto"/>
      </w:pPr>
      <w:r>
        <w:rPr>
          <w:rFonts w:ascii="Lato" w:hAnsi="Lato" w:eastAsia="Lato"/>
          <w:i w:val="0"/>
          <w:color w:val="26384A"/>
          <w:sz w:val="19"/>
        </w:rPr>
        <w:t>[INSERT: produits, services, actifs, marchés, fournisseurs, clients, financement et dépendances concernés.]</w:t>
      </w:r>
    </w:p>
    <w:p>
      <w:pPr>
        <w:pStyle w:val="Heading2"/>
      </w:pPr>
      <w:r>
        <w:t>4.2 Réaction stratégique</w:t>
      </w:r>
    </w:p>
    <w:p>
      <w:pPr>
        <w:spacing w:before="0" w:after="80" w:line="269" w:lineRule="auto"/>
      </w:pPr>
      <w:r>
        <w:rPr>
          <w:rFonts w:ascii="Lato" w:hAnsi="Lato" w:eastAsia="Lato"/>
          <w:i w:val="0"/>
          <w:color w:val="26384A"/>
          <w:sz w:val="19"/>
        </w:rPr>
        <w:t>[INSERT: actions, compromis, atténuation directe/indirect, adaptation, opportunités, changements de stratégie et progrès.]</w:t>
      </w:r>
    </w:p>
    <w:p>
      <w:pPr>
        <w:pStyle w:val="Heading2"/>
      </w:pPr>
      <w:r>
        <w:t>4.3 Plan de transition où il existe un</w:t>
      </w:r>
    </w:p>
    <w:p>
      <w:pPr>
        <w:spacing w:before="0" w:after="80" w:line="269" w:lineRule="auto"/>
      </w:pPr>
      <w:r>
        <w:rPr>
          <w:rFonts w:ascii="Lato" w:hAnsi="Lato" w:eastAsia="Lato"/>
          <w:i w:val="0"/>
          <w:color w:val="26384A"/>
          <w:sz w:val="19"/>
        </w:rPr>
        <w:t>[INSERT: état du plan, objectifs, objectifs, actions, ressources, hypothèses, dépendances, gouvernance et progrès. Indiquer clairement s'il n'existe pas de plan formel.]</w:t>
      </w:r>
    </w:p>
    <w:p>
      <w:pPr>
        <w:pStyle w:val="Heading2"/>
      </w:pPr>
      <w:r>
        <w:t>4.4 Réserves et déploiement de capitaux</w:t>
      </w:r>
    </w:p>
    <w:p>
      <w:pPr>
        <w:spacing w:before="0" w:after="80" w:line="269" w:lineRule="auto"/>
      </w:pPr>
      <w:r>
        <w:rPr>
          <w:rFonts w:ascii="Lato" w:hAnsi="Lato" w:eastAsia="Lato"/>
          <w:i w:val="0"/>
          <w:color w:val="26384A"/>
          <w:sz w:val="19"/>
        </w:rPr>
        <w:t>[INSERT: capex/opex dépensé, engagé, approuvé, prévu et aspiratif; source de financement; période; conditions; dépendances.]</w:t>
      </w:r>
    </w:p>
    <w:p>
      <w:pPr>
        <w:pStyle w:val="Heading2"/>
      </w:pPr>
      <w:r>
        <w:t>Les indications de preuve et les instructions de contrôle</w:t>
      </w:r>
    </w:p>
    <w:p>
      <w:pPr>
        <w:pStyle w:val="ListBullet"/>
        <w:spacing w:before="0" w:after="60" w:line="259" w:lineRule="auto"/>
      </w:pPr>
      <w:r>
        <w:rPr>
          <w:rFonts w:ascii="Lato" w:hAnsi="Lato" w:eastAsia="Lato"/>
          <w:color w:val="26384A"/>
          <w:sz w:val="19"/>
        </w:rPr>
        <w:t>☐ Actions et ressources reconciliées pour financer les plans.</w:t>
      </w:r>
    </w:p>
    <w:p>
      <w:pPr>
        <w:pStyle w:val="ListBullet"/>
        <w:spacing w:before="0" w:after="60" w:line="259" w:lineRule="auto"/>
      </w:pPr>
      <w:r>
        <w:rPr>
          <w:rFonts w:ascii="Lato" w:hAnsi="Lato" w:eastAsia="Lato"/>
          <w:color w:val="26384A"/>
          <w:sz w:val="19"/>
        </w:rPr>
        <w:t>☐ Les demandes relatives au plan de transition correspondent au plan approuvé.</w:t>
      </w:r>
    </w:p>
    <w:p>
      <w:pPr>
        <w:pStyle w:val="ListBullet"/>
        <w:spacing w:before="0" w:after="60" w:line="259" w:lineRule="auto"/>
      </w:pPr>
      <w:r>
        <w:rPr>
          <w:rFonts w:ascii="Lato" w:hAnsi="Lato" w:eastAsia="Lato"/>
          <w:color w:val="26384A"/>
          <w:sz w:val="19"/>
        </w:rPr>
        <w:t>☐ Les dépendances et les conditionalités sont visibles.</w:t>
      </w:r>
    </w:p>
    <w:p>
      <w:pPr>
        <w:pStyle w:val="ListBullet"/>
        <w:spacing w:before="0" w:after="60" w:line="259" w:lineRule="auto"/>
      </w:pPr>
      <w:r>
        <w:rPr>
          <w:rFonts w:ascii="Lato" w:hAnsi="Lato" w:eastAsia="Lato"/>
          <w:color w:val="26384A"/>
          <w:sz w:val="19"/>
        </w:rPr>
        <w:t>☐ Les progrès comprennent des retards et des changements.</w:t>
      </w:r>
    </w:p>
    <w:p>
      <w:pPr>
        <w:pStyle w:val="Heading1"/>
      </w:pPr>
      <w:r>
        <w:t>5- analyse des scénarios et résilience climatique</w:t>
      </w:r>
    </w:p>
    <w:tbl>
      <w:tblPr>
        <w:tblW w:type="auto" w:w="0"/>
        <w:jc w:val="center"/>
        <w:tblLook w:firstColumn="1" w:firstRow="1" w:lastColumn="0" w:lastRow="0" w:noHBand="0" w:noVBand="1" w:val="04A0"/>
        <w:tblLayout w:type="fixed"/>
      </w:tblPr>
      <w:tblGrid>
        <w:gridCol w:w="10036"/>
      </w:tblGrid>
      <w:tr>
        <w:trPr>
          <w:cantSplit/>
        </w:trPr>
        <w:tc>
          <w:tcPr>
            <w:tcW w:type="dxa" w:w="10036"/>
            <w:shd w:fill="EAF1F7"/>
            <w:tcMar>
              <w:top w:w="120" w:type="dxa"/>
              <w:start w:w="150" w:type="dxa"/>
              <w:bottom w:w="120" w:type="dxa"/>
              <w:end w:w="150" w:type="dxa"/>
            </w:tcMar>
            <w:tcBorders>
              <w:left w:val="single" w:sz="18" w:color="173F65"/>
            </w:tcBorders>
          </w:tcPr>
          <w:p>
            <w:pPr>
              <w:spacing w:before="0" w:after="60" w:line="240" w:lineRule="auto"/>
            </w:pPr>
            <w:r>
              <w:rPr>
                <w:rFonts w:ascii="Lato" w:hAnsi="Lato" w:eastAsia="Lato"/>
                <w:b/>
                <w:color w:val="173F65"/>
                <w:sz w:val="17"/>
              </w:rPr>
              <w:t>PURPOSE</w:t>
            </w:r>
          </w:p>
          <w:p>
            <w:pPr>
              <w:spacing w:before="0" w:after="0" w:line="259" w:lineRule="auto"/>
            </w:pPr>
            <w:r>
              <w:rPr>
                <w:rFonts w:ascii="Lato" w:hAnsi="Lato" w:eastAsia="Lato"/>
                <w:b w:val="0"/>
                <w:color w:val="173F65"/>
                <w:sz w:val="18"/>
              </w:rPr>
              <w:t>Expliquer une méthode de scénario proportionnée et une évaluation équilibrée de la vulnérabilité et de la capacité d'adaptation.</w:t>
            </w:r>
          </w:p>
        </w:tc>
      </w:tr>
    </w:tbl>
    <w:p>
      <w:pPr>
        <w:spacing w:after="0"/>
      </w:pPr>
    </w:p>
    <w:p>
      <w:pPr>
        <w:pStyle w:val="Heading2"/>
      </w:pPr>
      <w:r>
        <w:t>5.1 Méthode et portée</w:t>
      </w:r>
    </w:p>
    <w:p>
      <w:pPr>
        <w:spacing w:before="0" w:after="80" w:line="269" w:lineRule="auto"/>
      </w:pPr>
      <w:r>
        <w:rPr>
          <w:rFonts w:ascii="Lato" w:hAnsi="Lato" w:eastAsia="Lato"/>
          <w:i w:val="0"/>
          <w:color w:val="26384A"/>
          <w:sz w:val="19"/>
        </w:rPr>
        <w:t>[INSERT: but; risques/opportunités importants; sources/versions de scénarios; voies physiques et de transition; géographies/actifs/portfolios; horizons temporels; méthode qualitative/quantitative.]</w:t>
      </w:r>
    </w:p>
    <w:p>
      <w:pPr>
        <w:pStyle w:val="Heading2"/>
      </w:pPr>
      <w:r>
        <w:t>5.2 Suppositions et limitations</w:t>
      </w:r>
    </w:p>
    <w:p>
      <w:pPr>
        <w:spacing w:before="0" w:after="80" w:line="269" w:lineRule="auto"/>
      </w:pPr>
      <w:r>
        <w:rPr>
          <w:rFonts w:ascii="Lato" w:hAnsi="Lato" w:eastAsia="Lato"/>
          <w:i w:val="0"/>
          <w:color w:val="26384A"/>
          <w:sz w:val="19"/>
        </w:rPr>
        <w:t>[INSERT: température, politique, technologie, demande, prix, risque, hypothèses financières; exclusions; limitations de données; incertitude du modèle.]</w:t>
      </w:r>
    </w:p>
    <w:p>
      <w:pPr>
        <w:pStyle w:val="Heading2"/>
      </w:pPr>
      <w:r>
        <w:t>5.3 Résultats et utilisation des décisions</w:t>
      </w:r>
    </w:p>
    <w:p>
      <w:pPr>
        <w:spacing w:before="0" w:after="80" w:line="269" w:lineRule="auto"/>
      </w:pPr>
      <w:r>
        <w:rPr>
          <w:rFonts w:ascii="Lato" w:hAnsi="Lato" w:eastAsia="Lato"/>
          <w:i w:val="0"/>
          <w:color w:val="26384A"/>
          <w:sz w:val="19"/>
        </w:rPr>
        <w:t>[INSERT: vulnérabilités, sensibilités, opportunités, seuils, stratégies/capéx/ décisions et changements en matière de risque.]</w:t>
      </w:r>
    </w:p>
    <w:p>
      <w:pPr>
        <w:pStyle w:val="Heading2"/>
      </w:pPr>
      <w:r>
        <w:t>5.4 Capacité d'adaptation</w:t>
      </w:r>
    </w:p>
    <w:p>
      <w:pPr>
        <w:spacing w:before="0" w:after="80" w:line="269" w:lineRule="auto"/>
      </w:pPr>
      <w:r>
        <w:rPr>
          <w:rFonts w:ascii="Lato" w:hAnsi="Lato" w:eastAsia="Lato"/>
          <w:i w:val="0"/>
          <w:color w:val="26384A"/>
          <w:sz w:val="19"/>
        </w:rPr>
        <w:t>[INSERT: options stratégiques; flexibilité des actifs; capacité financière; financement; délais de livraison; dépendances; déclencheurs de décision; exposition résiduelle; incertitude.]</w:t>
      </w:r>
    </w:p>
    <w:p>
      <w:pPr>
        <w:pStyle w:val="Heading2"/>
      </w:pPr>
      <w:r>
        <w:t>Les indications de preuve et les instructions de contrôle</w:t>
      </w:r>
    </w:p>
    <w:p>
      <w:pPr>
        <w:pStyle w:val="ListBullet"/>
        <w:spacing w:before="0" w:after="60" w:line="259" w:lineRule="auto"/>
      </w:pPr>
      <w:r>
        <w:rPr>
          <w:rFonts w:ascii="Lato" w:hAnsi="Lato" w:eastAsia="Lato"/>
          <w:color w:val="26384A"/>
          <w:sz w:val="19"/>
        </w:rPr>
        <w:t>☐ Source de scénario et version contrôlée.</w:t>
      </w:r>
    </w:p>
    <w:p>
      <w:pPr>
        <w:pStyle w:val="ListBullet"/>
        <w:spacing w:before="0" w:after="60" w:line="259" w:lineRule="auto"/>
      </w:pPr>
      <w:r>
        <w:rPr>
          <w:rFonts w:ascii="Lato" w:hAnsi="Lato" w:eastAsia="Lato"/>
          <w:color w:val="26384A"/>
          <w:sz w:val="19"/>
        </w:rPr>
        <w:t>☐ Les hypothèses reconciliées avec la planification financière.</w:t>
      </w:r>
    </w:p>
    <w:p>
      <w:pPr>
        <w:pStyle w:val="ListBullet"/>
        <w:spacing w:before="0" w:after="60" w:line="259" w:lineRule="auto"/>
      </w:pPr>
      <w:r>
        <w:rPr>
          <w:rFonts w:ascii="Lato" w:hAnsi="Lato" w:eastAsia="Lato"/>
          <w:color w:val="26384A"/>
          <w:sz w:val="19"/>
        </w:rPr>
        <w:t>☐ Le défi de gouvernance a été enregistré.</w:t>
      </w:r>
    </w:p>
    <w:p>
      <w:pPr>
        <w:pStyle w:val="ListBullet"/>
        <w:spacing w:before="0" w:after="60" w:line="259" w:lineRule="auto"/>
      </w:pPr>
      <w:r>
        <w:rPr>
          <w:rFonts w:ascii="Lato" w:hAnsi="Lato" w:eastAsia="Lato"/>
          <w:color w:val="26384A"/>
          <w:sz w:val="19"/>
        </w:rPr>
        <w:t>☐ La résilience évitera la certitude non soutenue.</w:t>
      </w:r>
    </w:p>
    <w:p>
      <w:pPr>
        <w:pStyle w:val="Heading1"/>
      </w:pPr>
      <w:r>
        <w:t>6. Effets financiers actuels et prévus</w:t>
      </w:r>
    </w:p>
    <w:tbl>
      <w:tblPr>
        <w:tblW w:type="auto" w:w="0"/>
        <w:jc w:val="center"/>
        <w:tblLook w:firstColumn="1" w:firstRow="1" w:lastColumn="0" w:lastRow="0" w:noHBand="0" w:noVBand="1" w:val="04A0"/>
        <w:tblLayout w:type="fixed"/>
      </w:tblPr>
      <w:tblGrid>
        <w:gridCol w:w="10036"/>
      </w:tblGrid>
      <w:tr>
        <w:trPr>
          <w:cantSplit/>
        </w:trPr>
        <w:tc>
          <w:tcPr>
            <w:tcW w:type="dxa" w:w="10036"/>
            <w:shd w:fill="EAF1F7"/>
            <w:tcMar>
              <w:top w:w="120" w:type="dxa"/>
              <w:start w:w="150" w:type="dxa"/>
              <w:bottom w:w="120" w:type="dxa"/>
              <w:end w:w="150" w:type="dxa"/>
            </w:tcMar>
            <w:tcBorders>
              <w:left w:val="single" w:sz="18" w:color="173F65"/>
            </w:tcBorders>
          </w:tcPr>
          <w:p>
            <w:pPr>
              <w:spacing w:before="0" w:after="60" w:line="240" w:lineRule="auto"/>
            </w:pPr>
            <w:r>
              <w:rPr>
                <w:rFonts w:ascii="Lato" w:hAnsi="Lato" w:eastAsia="Lato"/>
                <w:b/>
                <w:color w:val="173F65"/>
                <w:sz w:val="17"/>
              </w:rPr>
              <w:t>PURPOSE</w:t>
            </w:r>
          </w:p>
          <w:p>
            <w:pPr>
              <w:spacing w:before="0" w:after="0" w:line="259" w:lineRule="auto"/>
            </w:pPr>
            <w:r>
              <w:rPr>
                <w:rFonts w:ascii="Lato" w:hAnsi="Lato" w:eastAsia="Lato"/>
                <w:b w:val="0"/>
                <w:color w:val="173F65"/>
                <w:sz w:val="18"/>
              </w:rPr>
              <w:t>Connectez chaque question importante concernant le climat aux effets actuels et prévus sur la situation financière, les performances et les flux de trésorerie.</w:t>
            </w:r>
          </w:p>
        </w:tc>
      </w:tr>
    </w:tbl>
    <w:p>
      <w:pPr>
        <w:spacing w:after="0"/>
      </w:pPr>
    </w:p>
    <w:p>
      <w:pPr>
        <w:pStyle w:val="Heading2"/>
      </w:pPr>
      <w:r>
        <w:t>6.1 Ponte financière</w:t>
      </w:r>
    </w:p>
    <w:p>
      <w:pPr>
        <w:spacing w:before="0" w:after="80" w:line="269" w:lineRule="auto"/>
      </w:pPr>
      <w:r>
        <w:rPr>
          <w:rFonts w:ascii="Lato" w:hAnsi="Lato" w:eastAsia="Lato"/>
          <w:i w:val="0"/>
          <w:color w:val="26384A"/>
          <w:sz w:val="19"/>
        </w:rPr>
        <w:t>[TABLE INSERT: matière climatique; courant/anticipé; recettes; coûts; actifs; passifs; flux de trésorerie; financement; capex; horizon temporel; montant/période/qualité; hypothèses; éléments affectés de la ligne des états financiers.]</w:t>
      </w:r>
    </w:p>
    <w:p>
      <w:pPr>
        <w:pStyle w:val="Heading2"/>
      </w:pPr>
      <w:r>
        <w:t>6.2 Traitement quantitatif</w:t>
      </w:r>
    </w:p>
    <w:p>
      <w:pPr>
        <w:spacing w:before="0" w:after="80" w:line="269" w:lineRule="auto"/>
      </w:pPr>
      <w:r>
        <w:rPr>
          <w:rFonts w:ascii="Lato" w:hAnsi="Lato" w:eastAsia="Lato"/>
          <w:i w:val="0"/>
          <w:color w:val="26384A"/>
          <w:sz w:val="19"/>
        </w:rPr>
        <w:t>[INSERT: montants, intervalles ou pourcentages uniques; définitions de dénominateurs; informations combinées; contrôles de double comptage.]</w:t>
      </w:r>
    </w:p>
    <w:p>
      <w:pPr>
        <w:pStyle w:val="Heading2"/>
      </w:pPr>
      <w:r>
        <w:t>6.3 Traitement ou soulagement qualitatif</w:t>
      </w:r>
    </w:p>
    <w:p>
      <w:pPr>
        <w:spacing w:before="0" w:after="80" w:line="269" w:lineRule="auto"/>
      </w:pPr>
      <w:r>
        <w:rPr>
          <w:rFonts w:ascii="Lato" w:hAnsi="Lato" w:eastAsia="Lato"/>
          <w:i w:val="0"/>
          <w:color w:val="26384A"/>
          <w:sz w:val="19"/>
        </w:rPr>
        <w:t>[INSERT: pourquoi une quantification séparée n'est pas utile dans les conditions précisées; éléments de ligne affectés; renseignements qualitatifs et combinés à remplacer.]</w:t>
      </w:r>
    </w:p>
    <w:p>
      <w:pPr>
        <w:pStyle w:val="Heading2"/>
      </w:pPr>
      <w:r>
        <w:t>6.4 Conséquence et incertitude</w:t>
      </w:r>
    </w:p>
    <w:p>
      <w:pPr>
        <w:spacing w:before="0" w:after="80" w:line="269" w:lineRule="auto"/>
      </w:pPr>
      <w:r>
        <w:rPr>
          <w:rFonts w:ascii="Lato" w:hAnsi="Lato" w:eastAsia="Lato"/>
          <w:i w:val="0"/>
          <w:color w:val="26384A"/>
          <w:sz w:val="19"/>
        </w:rPr>
        <w:t>[INSERT: réconciliation avec les états financiers, les budgets, les prévisions et les scénarios; différences de base de mesure; sensibilité; incertitude et limitations.]</w:t>
      </w:r>
    </w:p>
    <w:p>
      <w:pPr>
        <w:pStyle w:val="Heading2"/>
      </w:pPr>
      <w:r>
        <w:t>Les indications de preuve et les instructions de contrôle</w:t>
      </w:r>
    </w:p>
    <w:p>
      <w:pPr>
        <w:pStyle w:val="ListBullet"/>
        <w:spacing w:before="0" w:after="60" w:line="259" w:lineRule="auto"/>
      </w:pPr>
      <w:r>
        <w:rPr>
          <w:rFonts w:ascii="Lato" w:hAnsi="Lato" w:eastAsia="Lato"/>
          <w:color w:val="26384A"/>
          <w:sz w:val="19"/>
        </w:rPr>
        <w:t>☐ Le défi du CFO est terminé.</w:t>
      </w:r>
    </w:p>
    <w:p>
      <w:pPr>
        <w:pStyle w:val="ListBullet"/>
        <w:spacing w:before="0" w:after="60" w:line="259" w:lineRule="auto"/>
      </w:pPr>
      <w:r>
        <w:rPr>
          <w:rFonts w:ascii="Lato" w:hAnsi="Lato" w:eastAsia="Lato"/>
          <w:color w:val="26384A"/>
          <w:sz w:val="19"/>
        </w:rPr>
        <w:t>☐ Le cartographie des points de ligne est conservé.</w:t>
      </w:r>
    </w:p>
    <w:p>
      <w:pPr>
        <w:pStyle w:val="ListBullet"/>
        <w:spacing w:before="0" w:after="60" w:line="259" w:lineRule="auto"/>
      </w:pPr>
      <w:r>
        <w:rPr>
          <w:rFonts w:ascii="Lato" w:hAnsi="Lato" w:eastAsia="Lato"/>
          <w:color w:val="26384A"/>
          <w:sz w:val="19"/>
        </w:rPr>
        <w:t>☐ Les quantités/variétés sont reproducibles.</w:t>
      </w:r>
    </w:p>
    <w:p>
      <w:pPr>
        <w:pStyle w:val="ListBullet"/>
        <w:spacing w:before="0" w:after="60" w:line="259" w:lineRule="auto"/>
      </w:pPr>
      <w:r>
        <w:rPr>
          <w:rFonts w:ascii="Lato" w:hAnsi="Lato" w:eastAsia="Lato"/>
          <w:color w:val="26384A"/>
          <w:sz w:val="19"/>
        </w:rPr>
        <w:t>☐ Tout traitement qualitatif approuvé selon les critères exacts.</w:t>
      </w:r>
    </w:p>
    <w:p>
      <w:pPr>
        <w:pStyle w:val="Heading1"/>
      </w:pPr>
      <w:r>
        <w:t>7- Gestion des risques</w:t>
      </w:r>
    </w:p>
    <w:tbl>
      <w:tblPr>
        <w:tblW w:type="auto" w:w="0"/>
        <w:jc w:val="center"/>
        <w:tblLook w:firstColumn="1" w:firstRow="1" w:lastColumn="0" w:lastRow="0" w:noHBand="0" w:noVBand="1" w:val="04A0"/>
        <w:tblLayout w:type="fixed"/>
      </w:tblPr>
      <w:tblGrid>
        <w:gridCol w:w="10036"/>
      </w:tblGrid>
      <w:tr>
        <w:trPr>
          <w:cantSplit/>
        </w:trPr>
        <w:tc>
          <w:tcPr>
            <w:tcW w:type="dxa" w:w="10036"/>
            <w:shd w:fill="EAF1F7"/>
            <w:tcMar>
              <w:top w:w="120" w:type="dxa"/>
              <w:start w:w="150" w:type="dxa"/>
              <w:bottom w:w="120" w:type="dxa"/>
              <w:end w:w="150" w:type="dxa"/>
            </w:tcMar>
            <w:tcBorders>
              <w:left w:val="single" w:sz="18" w:color="173F65"/>
            </w:tcBorders>
          </w:tcPr>
          <w:p>
            <w:pPr>
              <w:spacing w:before="0" w:after="60" w:line="240" w:lineRule="auto"/>
            </w:pPr>
            <w:r>
              <w:rPr>
                <w:rFonts w:ascii="Lato" w:hAnsi="Lato" w:eastAsia="Lato"/>
                <w:b/>
                <w:color w:val="173F65"/>
                <w:sz w:val="17"/>
              </w:rPr>
              <w:t>PURPOSE</w:t>
            </w:r>
          </w:p>
          <w:p>
            <w:pPr>
              <w:spacing w:before="0" w:after="0" w:line="259" w:lineRule="auto"/>
            </w:pPr>
            <w:r>
              <w:rPr>
                <w:rFonts w:ascii="Lato" w:hAnsi="Lato" w:eastAsia="Lato"/>
                <w:b w:val="0"/>
                <w:color w:val="173F65"/>
                <w:sz w:val="18"/>
              </w:rPr>
              <w:t>Décrire les processus spécifiques au climat et la preuve de l'intégration dans la gestion globale des risques.</w:t>
            </w:r>
          </w:p>
        </w:tc>
      </w:tr>
    </w:tbl>
    <w:p>
      <w:pPr>
        <w:spacing w:after="0"/>
      </w:pPr>
    </w:p>
    <w:p>
      <w:pPr>
        <w:pStyle w:val="Heading2"/>
      </w:pPr>
      <w:r>
        <w:t>7.1 Identification et évaluation</w:t>
      </w:r>
    </w:p>
    <w:p>
      <w:pPr>
        <w:spacing w:before="0" w:after="80" w:line="269" w:lineRule="auto"/>
      </w:pPr>
      <w:r>
        <w:rPr>
          <w:rFonts w:ascii="Lato" w:hAnsi="Lato" w:eastAsia="Lato"/>
          <w:i w:val="0"/>
          <w:color w:val="26384A"/>
          <w:sz w:val="19"/>
        </w:rPr>
        <w:t>[INSERT: processus, entrées, sources de données, utilisation des scénarios, probabilité/ampleur, vulnérabilité et évaluation des opportunités.]</w:t>
      </w:r>
    </w:p>
    <w:p>
      <w:pPr>
        <w:pStyle w:val="Heading2"/>
      </w:pPr>
      <w:r>
        <w:t>7.2 Prioritisation et suivi</w:t>
      </w:r>
    </w:p>
    <w:p>
      <w:pPr>
        <w:spacing w:before="0" w:after="80" w:line="269" w:lineRule="auto"/>
      </w:pPr>
      <w:r>
        <w:rPr>
          <w:rFonts w:ascii="Lato" w:hAnsi="Lato" w:eastAsia="Lato"/>
          <w:i w:val="0"/>
          <w:color w:val="26384A"/>
          <w:sz w:val="19"/>
        </w:rPr>
        <w:t>[INSERT: seuils, appétit au risque, comparaison avec d'autres risques, propriétaires, indicateurs, déclencheurs et escalade.]</w:t>
      </w:r>
    </w:p>
    <w:p>
      <w:pPr>
        <w:pStyle w:val="Heading2"/>
      </w:pPr>
      <w:r>
        <w:t>7.3 Intégration et changements du MER</w:t>
      </w:r>
    </w:p>
    <w:p>
      <w:pPr>
        <w:spacing w:before="0" w:after="80" w:line="269" w:lineRule="auto"/>
      </w:pPr>
      <w:r>
        <w:rPr>
          <w:rFonts w:ascii="Lato" w:hAnsi="Lato" w:eastAsia="Lato"/>
          <w:i w:val="0"/>
          <w:color w:val="26384A"/>
          <w:sz w:val="19"/>
        </w:rPr>
        <w:t>[INSERT: taxonomie/système commun; flux de comités; décisions; changements par rapport à la période précédente; différences entre les processus de risque et d'opportunité.]</w:t>
      </w:r>
    </w:p>
    <w:p>
      <w:pPr>
        <w:pStyle w:val="Heading2"/>
      </w:pPr>
      <w:r>
        <w:t>Les indications de preuve et les instructions de contrôle</w:t>
      </w:r>
    </w:p>
    <w:p>
      <w:pPr>
        <w:pStyle w:val="ListBullet"/>
        <w:spacing w:before="0" w:after="60" w:line="259" w:lineRule="auto"/>
      </w:pPr>
      <w:r>
        <w:rPr>
          <w:rFonts w:ascii="Lato" w:hAnsi="Lato" w:eastAsia="Lato"/>
          <w:color w:val="26384A"/>
          <w:sz w:val="19"/>
        </w:rPr>
        <w:t>☐ Les enregistrements du système ERM soutiennent le récit.</w:t>
      </w:r>
    </w:p>
    <w:p>
      <w:pPr>
        <w:pStyle w:val="ListBullet"/>
        <w:spacing w:before="0" w:after="60" w:line="259" w:lineRule="auto"/>
      </w:pPr>
      <w:r>
        <w:rPr>
          <w:rFonts w:ascii="Lato" w:hAnsi="Lato" w:eastAsia="Lato"/>
          <w:color w:val="26384A"/>
          <w:sz w:val="19"/>
        </w:rPr>
        <w:t>☐ La priorité par rapport aux autres risques est visible.</w:t>
      </w:r>
    </w:p>
    <w:p>
      <w:pPr>
        <w:pStyle w:val="ListBullet"/>
        <w:spacing w:before="0" w:after="60" w:line="259" w:lineRule="auto"/>
      </w:pPr>
      <w:r>
        <w:rPr>
          <w:rFonts w:ascii="Lato" w:hAnsi="Lato" w:eastAsia="Lato"/>
          <w:color w:val="26384A"/>
          <w:sz w:val="19"/>
        </w:rPr>
        <w:t>☐ Le processus d'opportunité est contrôlé.</w:t>
      </w:r>
    </w:p>
    <w:p>
      <w:pPr>
        <w:pStyle w:val="ListBullet"/>
        <w:spacing w:before="0" w:after="60" w:line="259" w:lineRule="auto"/>
      </w:pPr>
      <w:r>
        <w:rPr>
          <w:rFonts w:ascii="Lato" w:hAnsi="Lato" w:eastAsia="Lato"/>
          <w:color w:val="26384A"/>
          <w:sz w:val="19"/>
        </w:rPr>
        <w:t>☐ Les changements sont documentés.</w:t>
      </w:r>
    </w:p>
    <w:p>
      <w:pPr>
        <w:pStyle w:val="Heading1"/>
      </w:pPr>
      <w:r>
        <w:t>8- Mesures et objectifs climatiques</w:t>
      </w:r>
    </w:p>
    <w:tbl>
      <w:tblPr>
        <w:tblW w:type="auto" w:w="0"/>
        <w:jc w:val="center"/>
        <w:tblLook w:firstColumn="1" w:firstRow="1" w:lastColumn="0" w:lastRow="0" w:noHBand="0" w:noVBand="1" w:val="04A0"/>
        <w:tblLayout w:type="fixed"/>
      </w:tblPr>
      <w:tblGrid>
        <w:gridCol w:w="10036"/>
      </w:tblGrid>
      <w:tr>
        <w:trPr>
          <w:cantSplit/>
        </w:trPr>
        <w:tc>
          <w:tcPr>
            <w:tcW w:type="dxa" w:w="10036"/>
            <w:shd w:fill="EAF1F7"/>
            <w:tcMar>
              <w:top w:w="120" w:type="dxa"/>
              <w:start w:w="150" w:type="dxa"/>
              <w:bottom w:w="120" w:type="dxa"/>
              <w:end w:w="150" w:type="dxa"/>
            </w:tcMar>
            <w:tcBorders>
              <w:left w:val="single" w:sz="18" w:color="173F65"/>
            </w:tcBorders>
          </w:tcPr>
          <w:p>
            <w:pPr>
              <w:spacing w:before="0" w:after="60" w:line="240" w:lineRule="auto"/>
            </w:pPr>
            <w:r>
              <w:rPr>
                <w:rFonts w:ascii="Lato" w:hAnsi="Lato" w:eastAsia="Lato"/>
                <w:b/>
                <w:color w:val="173F65"/>
                <w:sz w:val="17"/>
              </w:rPr>
              <w:t>PURPOSE</w:t>
            </w:r>
          </w:p>
          <w:p>
            <w:pPr>
              <w:spacing w:before="0" w:after="0" w:line="259" w:lineRule="auto"/>
            </w:pPr>
            <w:r>
              <w:rPr>
                <w:rFonts w:ascii="Lato" w:hAnsi="Lato" w:eastAsia="Lato"/>
                <w:b w:val="0"/>
                <w:color w:val="173F65"/>
                <w:sz w:val="18"/>
              </w:rPr>
              <w:t>Présenter des mesures interindustrielles, sectorielles et spécifiques à l'entité avec des méthodes, des comparaisons et des performances cibles.</w:t>
            </w:r>
          </w:p>
        </w:tc>
      </w:tr>
    </w:tbl>
    <w:p>
      <w:pPr>
        <w:spacing w:after="0"/>
      </w:pPr>
    </w:p>
    <w:p>
      <w:pPr>
        <w:pStyle w:val="Heading2"/>
      </w:pPr>
      <w:r>
        <w:t>8.1 Tableau de métriques</w:t>
      </w:r>
    </w:p>
    <w:p>
      <w:pPr>
        <w:spacing w:before="0" w:after="80" w:line="269" w:lineRule="auto"/>
      </w:pPr>
      <w:r>
        <w:rPr>
          <w:rFonts w:ascii="Lato" w:hAnsi="Lato" w:eastAsia="Lato"/>
          <w:i w:val="0"/>
          <w:color w:val="26384A"/>
          <w:sz w:val="19"/>
        </w:rPr>
        <w:t>[INSERT: GHG; exposition au risque de transition; exposition au risques physiques; opportunités; déploiement de capitaux; prix interne du carbone; rémunération; indicateurs sectoriels; indicateurs spécifiques à l'entité.]</w:t>
      </w:r>
    </w:p>
    <w:p>
      <w:pPr>
        <w:pStyle w:val="Heading2"/>
      </w:pPr>
      <w:r>
        <w:t>8.2 Méthodes et estimations</w:t>
      </w:r>
    </w:p>
    <w:p>
      <w:pPr>
        <w:spacing w:before="0" w:after="80" w:line="269" w:lineRule="auto"/>
      </w:pPr>
      <w:r>
        <w:rPr>
          <w:rFonts w:ascii="Lato" w:hAnsi="Lato" w:eastAsia="Lato"/>
          <w:i w:val="0"/>
          <w:color w:val="26384A"/>
          <w:sz w:val="19"/>
        </w:rPr>
        <w:t>[INSERT: définition, unité, formule, limite, période, source, hypothèses, estimations, limites, changements et traitement comparatif.]</w:t>
      </w:r>
    </w:p>
    <w:p>
      <w:pPr>
        <w:pStyle w:val="Heading2"/>
      </w:pPr>
      <w:r>
        <w:t>8.3 Informations sur l'industrie</w:t>
      </w:r>
    </w:p>
    <w:p>
      <w:pPr>
        <w:spacing w:before="0" w:after="80" w:line="269" w:lineRule="auto"/>
      </w:pPr>
      <w:r>
        <w:rPr>
          <w:rFonts w:ascii="Lato" w:hAnsi="Lato" w:eastAsia="Lato"/>
          <w:i w:val="0"/>
          <w:color w:val="26384A"/>
          <w:sz w:val="19"/>
        </w:rPr>
        <w:t>[INSERT: industries identifiées; sources considérées et utilisées; indicateurs sélectionnés/adaptés/développés par l'entité; justification de non-utilisation.]</w:t>
      </w:r>
    </w:p>
    <w:p>
      <w:pPr>
        <w:pStyle w:val="Heading2"/>
      </w:pPr>
      <w:r>
        <w:t>8.4 Objectifs et performances</w:t>
      </w:r>
    </w:p>
    <w:p>
      <w:pPr>
        <w:spacing w:before="0" w:after="80" w:line="269" w:lineRule="auto"/>
      </w:pPr>
      <w:r>
        <w:rPr>
          <w:rFonts w:ascii="Lato" w:hAnsi="Lato" w:eastAsia="Lato"/>
          <w:i w:val="0"/>
          <w:color w:val="26384A"/>
          <w:sz w:val="19"/>
        </w:rPr>
        <w:t>[INSERT: statut juridique/volontaire; objectif; métrique; portée; période de base; période cible; jalons; absolue/intensité; brut/nette; validation; révisions; performance réelle; jalons manqués et réponse.]</w:t>
      </w:r>
    </w:p>
    <w:p>
      <w:pPr>
        <w:pStyle w:val="Heading2"/>
      </w:pPr>
      <w:r>
        <w:t>Les indications de preuve et les instructions de contrôle</w:t>
      </w:r>
    </w:p>
    <w:p>
      <w:pPr>
        <w:pStyle w:val="ListBullet"/>
        <w:spacing w:before="0" w:after="60" w:line="259" w:lineRule="auto"/>
      </w:pPr>
      <w:r>
        <w:rPr>
          <w:rFonts w:ascii="Lato" w:hAnsi="Lato" w:eastAsia="Lato"/>
          <w:color w:val="26384A"/>
          <w:sz w:val="19"/>
        </w:rPr>
        <w:t>☐ Le dictionnaire de données approuvé.</w:t>
      </w:r>
    </w:p>
    <w:p>
      <w:pPr>
        <w:pStyle w:val="ListBullet"/>
        <w:spacing w:before="0" w:after="60" w:line="259" w:lineRule="auto"/>
      </w:pPr>
      <w:r>
        <w:rPr>
          <w:rFonts w:ascii="Lato" w:hAnsi="Lato" w:eastAsia="Lato"/>
          <w:color w:val="26384A"/>
          <w:sz w:val="19"/>
        </w:rPr>
        <w:t>☐ Déclaration source/industrie complète.</w:t>
      </w:r>
    </w:p>
    <w:p>
      <w:pPr>
        <w:pStyle w:val="ListBullet"/>
        <w:spacing w:before="0" w:after="60" w:line="259" w:lineRule="auto"/>
      </w:pPr>
      <w:r>
        <w:rPr>
          <w:rFonts w:ascii="Lato" w:hAnsi="Lato" w:eastAsia="Lato"/>
          <w:color w:val="26384A"/>
          <w:sz w:val="19"/>
        </w:rPr>
        <w:t>☐ Les frontières cibles sont réconciliées.</w:t>
      </w:r>
    </w:p>
    <w:p>
      <w:pPr>
        <w:pStyle w:val="ListBullet"/>
        <w:spacing w:before="0" w:after="60" w:line="259" w:lineRule="auto"/>
      </w:pPr>
      <w:r>
        <w:rPr>
          <w:rFonts w:ascii="Lato" w:hAnsi="Lato" w:eastAsia="Lato"/>
          <w:color w:val="26384A"/>
          <w:sz w:val="19"/>
        </w:rPr>
        <w:t>☐ Les performances et les révisions examinées indépendamment.</w:t>
      </w:r>
    </w:p>
    <w:p>
      <w:pPr>
        <w:pStyle w:val="Heading1"/>
      </w:pPr>
      <w:r>
        <w:t>9. GHG émissions et émissions financées</w:t>
      </w:r>
    </w:p>
    <w:tbl>
      <w:tblPr>
        <w:tblW w:type="auto" w:w="0"/>
        <w:jc w:val="center"/>
        <w:tblLook w:firstColumn="1" w:firstRow="1" w:lastColumn="0" w:lastRow="0" w:noHBand="0" w:noVBand="1" w:val="04A0"/>
        <w:tblLayout w:type="fixed"/>
      </w:tblPr>
      <w:tblGrid>
        <w:gridCol w:w="10036"/>
      </w:tblGrid>
      <w:tr>
        <w:trPr>
          <w:cantSplit/>
        </w:trPr>
        <w:tc>
          <w:tcPr>
            <w:tcW w:type="dxa" w:w="10036"/>
            <w:shd w:fill="EAF1F7"/>
            <w:tcMar>
              <w:top w:w="120" w:type="dxa"/>
              <w:start w:w="150" w:type="dxa"/>
              <w:bottom w:w="120" w:type="dxa"/>
              <w:end w:w="150" w:type="dxa"/>
            </w:tcMar>
            <w:tcBorders>
              <w:left w:val="single" w:sz="18" w:color="173F65"/>
            </w:tcBorders>
          </w:tcPr>
          <w:p>
            <w:pPr>
              <w:spacing w:before="0" w:after="60" w:line="240" w:lineRule="auto"/>
            </w:pPr>
            <w:r>
              <w:rPr>
                <w:rFonts w:ascii="Lato" w:hAnsi="Lato" w:eastAsia="Lato"/>
                <w:b/>
                <w:color w:val="173F65"/>
                <w:sz w:val="17"/>
              </w:rPr>
              <w:t>PURPOSE</w:t>
            </w:r>
          </w:p>
          <w:p>
            <w:pPr>
              <w:spacing w:before="0" w:after="0" w:line="259" w:lineRule="auto"/>
            </w:pPr>
            <w:r>
              <w:rPr>
                <w:rFonts w:ascii="Lato" w:hAnsi="Lato" w:eastAsia="Lato"/>
                <w:b w:val="0"/>
                <w:color w:val="173F65"/>
                <w:sz w:val="18"/>
              </w:rPr>
              <w:t>Fournir un inventaire brut transparent et des informations applicables sur les émissions financées sans compensation des crédits de carbone.</w:t>
            </w:r>
          </w:p>
        </w:tc>
      </w:tr>
    </w:tbl>
    <w:p>
      <w:pPr>
        <w:spacing w:after="0"/>
      </w:pPr>
    </w:p>
    <w:p>
      <w:pPr>
        <w:pStyle w:val="Heading2"/>
      </w:pPr>
      <w:r>
        <w:t>9.1 GHG Tableau</w:t>
      </w:r>
    </w:p>
    <w:p>
      <w:pPr>
        <w:spacing w:before="0" w:after="80" w:line="269" w:lineRule="auto"/>
      </w:pPr>
      <w:r>
        <w:rPr>
          <w:rFonts w:ascii="Lato" w:hAnsi="Lato" w:eastAsia="Lato"/>
          <w:i w:val="0"/>
          <w:color w:val="26384A"/>
          <w:sz w:val="19"/>
        </w:rPr>
        <w:t>[INSERT: champ d'application brut absolu 1, portée 2 en fonction de l'emplacement et du champ d'application 3; tonnes CO2e; groupe consolidé/autre décomposition des entités dans lesquelles l'investissement a été effectué; comparaisons.]</w:t>
      </w:r>
    </w:p>
    <w:p>
      <w:pPr>
        <w:pStyle w:val="Heading2"/>
      </w:pPr>
      <w:r>
        <w:t>9.2 Limite et méthode organisationnelles</w:t>
      </w:r>
    </w:p>
    <w:p>
      <w:pPr>
        <w:spacing w:before="0" w:after="80" w:line="269" w:lineRule="auto"/>
      </w:pPr>
      <w:r>
        <w:rPr>
          <w:rFonts w:ascii="Lato" w:hAnsi="Lato" w:eastAsia="Lato"/>
          <w:i w:val="0"/>
          <w:color w:val="26384A"/>
          <w:sz w:val="19"/>
        </w:rPr>
        <w:t>[INSERT: méthode de consolidation; traitement des filiales, sociétés associées, JV, liens, acquisitions/dispositions; méthode de compétence; GHG Utilisation du protocole.]</w:t>
      </w:r>
    </w:p>
    <w:p>
      <w:pPr>
        <w:pStyle w:val="Heading2"/>
      </w:pPr>
      <w:r>
        <w:t>9.3 Scope de l'action 2</w:t>
      </w:r>
    </w:p>
    <w:p>
      <w:pPr>
        <w:spacing w:before="0" w:after="80" w:line="269" w:lineRule="auto"/>
      </w:pPr>
      <w:r>
        <w:rPr>
          <w:rFonts w:ascii="Lato" w:hAnsi="Lato" w:eastAsia="Lato"/>
          <w:i w:val="0"/>
          <w:color w:val="26384A"/>
          <w:sz w:val="19"/>
        </w:rPr>
        <w:t>[INSERT: montant basé sur l'emplacement; instruments contractuels; contrats/certificats et preuves renouvelables.]</w:t>
      </w:r>
    </w:p>
    <w:p>
      <w:pPr>
        <w:pStyle w:val="Heading2"/>
      </w:pPr>
      <w:r>
        <w:t>9.4 Scope de l'action 3</w:t>
      </w:r>
    </w:p>
    <w:p>
      <w:pPr>
        <w:spacing w:before="0" w:after="80" w:line="269" w:lineRule="auto"/>
      </w:pPr>
      <w:r>
        <w:rPr>
          <w:rFonts w:ascii="Lato" w:hAnsi="Lato" w:eastAsia="Lato"/>
          <w:i w:val="0"/>
          <w:color w:val="26384A"/>
          <w:sz w:val="19"/>
        </w:rPr>
        <w:t>[INSERT: tous les 15 catégories considérées; catégories pertinentes; méthode; données d'entrée; données primaires/secondaires; estimations; limites; plan de réévaluation et d'amélioration.]</w:t>
      </w:r>
    </w:p>
    <w:p>
      <w:pPr>
        <w:pStyle w:val="Heading2"/>
      </w:pPr>
      <w:r>
        <w:t>9.5 Émissions financées le cas échéant</w:t>
      </w:r>
    </w:p>
    <w:p>
      <w:pPr>
        <w:spacing w:before="0" w:after="80" w:line="269" w:lineRule="auto"/>
      </w:pPr>
      <w:r>
        <w:rPr>
          <w:rFonts w:ascii="Lato" w:hAnsi="Lato" w:eastAsia="Lato"/>
          <w:i w:val="0"/>
          <w:color w:val="26384A"/>
          <w:sz w:val="19"/>
        </w:rPr>
        <w:t>[INSERT: classes d'actifs, montant, dénominateur, couverture, exclusions, classification de l'industrie, méthodologie, hypothèses et explication B59A, le cas échéant.]</w:t>
      </w:r>
    </w:p>
    <w:p>
      <w:pPr>
        <w:pStyle w:val="Heading2"/>
      </w:pPr>
      <w:r>
        <w:t>9.6 Crédits de carbone</w:t>
      </w:r>
    </w:p>
    <w:p>
      <w:pPr>
        <w:spacing w:before="0" w:after="80" w:line="269" w:lineRule="auto"/>
      </w:pPr>
      <w:r>
        <w:rPr>
          <w:rFonts w:ascii="Lato" w:hAnsi="Lato" w:eastAsia="Lato"/>
          <w:i w:val="0"/>
          <w:color w:val="26384A"/>
          <w:sz w:val="19"/>
        </w:rPr>
        <w:t>[INSERT: dépendance prévue pour les objectifs nets; régime, type, suppression/réduction, attributs de qualité, vérification et statut de retraite.</w:t>
      </w:r>
    </w:p>
    <w:p>
      <w:pPr>
        <w:pStyle w:val="Heading2"/>
      </w:pPr>
      <w:r>
        <w:t>Les indications de preuve et les instructions de contrôle</w:t>
      </w:r>
    </w:p>
    <w:p>
      <w:pPr>
        <w:pStyle w:val="ListBullet"/>
        <w:spacing w:before="0" w:after="60" w:line="259" w:lineRule="auto"/>
      </w:pPr>
      <w:r>
        <w:rPr>
          <w:rFonts w:ascii="Lato" w:hAnsi="Lato" w:eastAsia="Lato"/>
          <w:color w:val="26384A"/>
          <w:sz w:val="19"/>
        </w:rPr>
        <w:t>☐ GHG La frontière est réconciliée.</w:t>
      </w:r>
    </w:p>
    <w:p>
      <w:pPr>
        <w:pStyle w:val="ListBullet"/>
        <w:spacing w:before="0" w:after="60" w:line="259" w:lineRule="auto"/>
      </w:pPr>
      <w:r>
        <w:rPr>
          <w:rFonts w:ascii="Lato" w:hAnsi="Lato" w:eastAsia="Lato"/>
          <w:color w:val="26384A"/>
          <w:sz w:val="19"/>
        </w:rPr>
        <w:t>☐ Facteurs et versions GWP contrôlées.</w:t>
      </w:r>
    </w:p>
    <w:p>
      <w:pPr>
        <w:pStyle w:val="ListBullet"/>
        <w:spacing w:before="0" w:after="60" w:line="259" w:lineRule="auto"/>
      </w:pPr>
      <w:r>
        <w:rPr>
          <w:rFonts w:ascii="Lato" w:hAnsi="Lato" w:eastAsia="Lato"/>
          <w:color w:val="26384A"/>
          <w:sz w:val="19"/>
        </w:rPr>
        <w:t>☐ Scope de l'action 3 l'examen de la pleine et entière.</w:t>
      </w:r>
    </w:p>
    <w:p>
      <w:pPr>
        <w:pStyle w:val="ListBullet"/>
        <w:spacing w:before="0" w:after="60" w:line="259" w:lineRule="auto"/>
      </w:pPr>
      <w:r>
        <w:rPr>
          <w:rFonts w:ascii="Lato" w:hAnsi="Lato" w:eastAsia="Lato"/>
          <w:color w:val="26384A"/>
          <w:sz w:val="19"/>
        </w:rPr>
        <w:t>☐ Temps des émissions financées et B59A approuvé.</w:t>
      </w:r>
    </w:p>
    <w:p>
      <w:pPr>
        <w:pStyle w:val="ListBullet"/>
        <w:spacing w:before="0" w:after="60" w:line="259" w:lineRule="auto"/>
      </w:pPr>
      <w:r>
        <w:rPr>
          <w:rFonts w:ascii="Lato" w:hAnsi="Lato" w:eastAsia="Lato"/>
          <w:color w:val="26384A"/>
          <w:sz w:val="19"/>
        </w:rPr>
        <w:t>☐ Les stocks bruts non nettoyés.</w:t>
      </w:r>
    </w:p>
    <w:p>
      <w:pPr>
        <w:pStyle w:val="Heading1"/>
      </w:pPr>
      <w:r>
        <w:t>10- Jugements, estimations, dispositions et modifications</w:t>
      </w:r>
    </w:p>
    <w:tbl>
      <w:tblPr>
        <w:tblW w:type="auto" w:w="0"/>
        <w:jc w:val="center"/>
        <w:tblLook w:firstColumn="1" w:firstRow="1" w:lastColumn="0" w:lastRow="0" w:noHBand="0" w:noVBand="1" w:val="04A0"/>
        <w:tblLayout w:type="fixed"/>
      </w:tblPr>
      <w:tblGrid>
        <w:gridCol w:w="10036"/>
      </w:tblGrid>
      <w:tr>
        <w:trPr>
          <w:cantSplit/>
        </w:trPr>
        <w:tc>
          <w:tcPr>
            <w:tcW w:type="dxa" w:w="10036"/>
            <w:shd w:fill="EAF1F7"/>
            <w:tcMar>
              <w:top w:w="120" w:type="dxa"/>
              <w:start w:w="150" w:type="dxa"/>
              <w:bottom w:w="120" w:type="dxa"/>
              <w:end w:w="150" w:type="dxa"/>
            </w:tcMar>
            <w:tcBorders>
              <w:left w:val="single" w:sz="18" w:color="173F65"/>
            </w:tcBorders>
          </w:tcPr>
          <w:p>
            <w:pPr>
              <w:spacing w:before="0" w:after="60" w:line="240" w:lineRule="auto"/>
            </w:pPr>
            <w:r>
              <w:rPr>
                <w:rFonts w:ascii="Lato" w:hAnsi="Lato" w:eastAsia="Lato"/>
                <w:b/>
                <w:color w:val="173F65"/>
                <w:sz w:val="17"/>
              </w:rPr>
              <w:t>PURPOSE</w:t>
            </w:r>
          </w:p>
          <w:p>
            <w:pPr>
              <w:spacing w:before="0" w:after="0" w:line="259" w:lineRule="auto"/>
            </w:pPr>
            <w:r>
              <w:rPr>
                <w:rFonts w:ascii="Lato" w:hAnsi="Lato" w:eastAsia="Lato"/>
                <w:b w:val="0"/>
                <w:color w:val="173F65"/>
                <w:sz w:val="18"/>
              </w:rPr>
              <w:t>Faire voir les décisions techniques importantes et l'incertitude.</w:t>
            </w:r>
          </w:p>
        </w:tc>
      </w:tr>
    </w:tbl>
    <w:p>
      <w:pPr>
        <w:spacing w:after="0"/>
      </w:pPr>
    </w:p>
    <w:p>
      <w:pPr>
        <w:pStyle w:val="Heading2"/>
      </w:pPr>
      <w:r>
        <w:t>10.1 Jugements importants</w:t>
      </w:r>
    </w:p>
    <w:p>
      <w:pPr>
        <w:spacing w:before="0" w:after="80" w:line="269" w:lineRule="auto"/>
      </w:pPr>
      <w:r>
        <w:rPr>
          <w:rFonts w:ascii="Lato" w:hAnsi="Lato" w:eastAsia="Lato"/>
          <w:i w:val="0"/>
          <w:color w:val="26384A"/>
          <w:sz w:val="19"/>
        </w:rPr>
        <w:t>[INSERT: la pertinence, les limites, la méthode de scénario, les sources du secteur, le traitement des effets financiers, les décisions d'objectif et de fourniture.]</w:t>
      </w:r>
    </w:p>
    <w:p>
      <w:pPr>
        <w:pStyle w:val="Heading2"/>
      </w:pPr>
      <w:r>
        <w:t>10.2 Incertitude de mesure</w:t>
      </w:r>
    </w:p>
    <w:p>
      <w:pPr>
        <w:spacing w:before="0" w:after="80" w:line="269" w:lineRule="auto"/>
      </w:pPr>
      <w:r>
        <w:rPr>
          <w:rFonts w:ascii="Lato" w:hAnsi="Lato" w:eastAsia="Lato"/>
          <w:i w:val="0"/>
          <w:color w:val="26384A"/>
          <w:sz w:val="19"/>
        </w:rPr>
        <w:t>[INSERT: estimations de matériel, gammes, limitations du modèle, sensibilités, qualité de la source et amélioration attendue.]</w:t>
      </w:r>
    </w:p>
    <w:p>
      <w:pPr>
        <w:pStyle w:val="Heading2"/>
      </w:pPr>
      <w:r>
        <w:t>10.3 Changements et erreurs</w:t>
      </w:r>
    </w:p>
    <w:p>
      <w:pPr>
        <w:spacing w:before="0" w:after="80" w:line="269" w:lineRule="auto"/>
      </w:pPr>
      <w:r>
        <w:rPr>
          <w:rFonts w:ascii="Lato" w:hAnsi="Lato" w:eastAsia="Lato"/>
          <w:i w:val="0"/>
          <w:color w:val="26384A"/>
          <w:sz w:val="19"/>
        </w:rPr>
        <w:t>[INSERT: méthodologie, estimation, limite, facteur, objectif, révision ou erreur comparative; raison; effet et approbation.]</w:t>
      </w:r>
    </w:p>
    <w:p>
      <w:pPr>
        <w:pStyle w:val="Heading2"/>
      </w:pPr>
      <w:r>
        <w:t>10.4 UK dispositions</w:t>
      </w:r>
    </w:p>
    <w:p>
      <w:pPr>
        <w:spacing w:before="0" w:after="80" w:line="269" w:lineRule="auto"/>
      </w:pPr>
      <w:r>
        <w:rPr>
          <w:rFonts w:ascii="Lato" w:hAnsi="Lato" w:eastAsia="Lato"/>
          <w:i w:val="0"/>
          <w:color w:val="26384A"/>
          <w:sz w:val="19"/>
        </w:rPr>
        <w:t>[TABLE INSERT: disposition; condition; période; informations affectées; divulgation de remplacement; effet comparatif; effet de demande; approbation.]</w:t>
      </w:r>
    </w:p>
    <w:p>
      <w:pPr>
        <w:pStyle w:val="Heading2"/>
      </w:pPr>
      <w:r>
        <w:t>Les indications de preuve et les instructions de contrôle</w:t>
      </w:r>
    </w:p>
    <w:p>
      <w:pPr>
        <w:pStyle w:val="ListBullet"/>
        <w:spacing w:before="0" w:after="60" w:line="259" w:lineRule="auto"/>
      </w:pPr>
      <w:r>
        <w:rPr>
          <w:rFonts w:ascii="Lato" w:hAnsi="Lato" w:eastAsia="Lato"/>
          <w:color w:val="26384A"/>
          <w:sz w:val="19"/>
        </w:rPr>
        <w:t>☐ Les registres de jugement et d'estimation sont réconciliés.</w:t>
      </w:r>
    </w:p>
    <w:p>
      <w:pPr>
        <w:pStyle w:val="ListBullet"/>
        <w:spacing w:before="0" w:after="60" w:line="259" w:lineRule="auto"/>
      </w:pPr>
      <w:r>
        <w:rPr>
          <w:rFonts w:ascii="Lato" w:hAnsi="Lato" w:eastAsia="Lato"/>
          <w:color w:val="26384A"/>
          <w:sz w:val="19"/>
        </w:rPr>
        <w:t>☐ Les modifications sont correctement classées.</w:t>
      </w:r>
    </w:p>
    <w:p>
      <w:pPr>
        <w:pStyle w:val="ListBullet"/>
        <w:spacing w:before="0" w:after="60" w:line="259" w:lineRule="auto"/>
      </w:pPr>
      <w:r>
        <w:rPr>
          <w:rFonts w:ascii="Lato" w:hAnsi="Lato" w:eastAsia="Lato"/>
          <w:color w:val="26384A"/>
          <w:sz w:val="19"/>
        </w:rPr>
        <w:t>☐ Utilisation de la disposition en plus de la déclaration de conformité.</w:t>
      </w:r>
    </w:p>
    <w:p>
      <w:pPr>
        <w:pStyle w:val="ListBullet"/>
        <w:spacing w:before="0" w:after="60" w:line="259" w:lineRule="auto"/>
      </w:pPr>
      <w:r>
        <w:rPr>
          <w:rFonts w:ascii="Lato" w:hAnsi="Lato" w:eastAsia="Lato"/>
          <w:color w:val="26384A"/>
          <w:sz w:val="19"/>
        </w:rPr>
        <w:t>☐ Corrections d'erreur approuvées.</w:t>
      </w:r>
    </w:p>
    <w:p>
      <w:pPr>
        <w:pStyle w:val="Heading1"/>
      </w:pPr>
      <w:r>
        <w:t>11- Index de divulgation et références croisées</w:t>
      </w:r>
    </w:p>
    <w:tbl>
      <w:tblPr>
        <w:tblW w:type="auto" w:w="0"/>
        <w:jc w:val="center"/>
        <w:tblLook w:firstColumn="1" w:firstRow="1" w:lastColumn="0" w:lastRow="0" w:noHBand="0" w:noVBand="1" w:val="04A0"/>
        <w:tblLayout w:type="fixed"/>
      </w:tblPr>
      <w:tblGrid>
        <w:gridCol w:w="10036"/>
      </w:tblGrid>
      <w:tr>
        <w:trPr>
          <w:cantSplit/>
        </w:trPr>
        <w:tc>
          <w:tcPr>
            <w:tcW w:type="dxa" w:w="10036"/>
            <w:shd w:fill="EAF1F7"/>
            <w:tcMar>
              <w:top w:w="120" w:type="dxa"/>
              <w:start w:w="150" w:type="dxa"/>
              <w:bottom w:w="120" w:type="dxa"/>
              <w:end w:w="150" w:type="dxa"/>
            </w:tcMar>
            <w:tcBorders>
              <w:left w:val="single" w:sz="18" w:color="173F65"/>
            </w:tcBorders>
          </w:tcPr>
          <w:p>
            <w:pPr>
              <w:spacing w:before="0" w:after="60" w:line="240" w:lineRule="auto"/>
            </w:pPr>
            <w:r>
              <w:rPr>
                <w:rFonts w:ascii="Lato" w:hAnsi="Lato" w:eastAsia="Lato"/>
                <w:b/>
                <w:color w:val="173F65"/>
                <w:sz w:val="17"/>
              </w:rPr>
              <w:t>PURPOSE</w:t>
            </w:r>
          </w:p>
          <w:p>
            <w:pPr>
              <w:spacing w:before="0" w:after="0" w:line="259" w:lineRule="auto"/>
            </w:pPr>
            <w:r>
              <w:rPr>
                <w:rFonts w:ascii="Lato" w:hAnsi="Lato" w:eastAsia="Lato"/>
                <w:b w:val="0"/>
                <w:color w:val="173F65"/>
                <w:sz w:val="18"/>
              </w:rPr>
              <w:t>Fournir une carte contrôlée de chaque exigence matérielle à son emplacement du rapport et à son dossier technique d'accompagnement.</w:t>
            </w:r>
          </w:p>
        </w:tc>
      </w:tr>
    </w:tbl>
    <w:p>
      <w:pPr>
        <w:spacing w:after="0"/>
      </w:pPr>
    </w:p>
    <w:p>
      <w:pPr>
        <w:pStyle w:val="Heading2"/>
      </w:pPr>
      <w:r>
        <w:t>11.1 Indice de divulgation</w:t>
      </w:r>
    </w:p>
    <w:p>
      <w:pPr>
        <w:spacing w:before="0" w:after="80" w:line="269" w:lineRule="auto"/>
      </w:pPr>
      <w:r>
        <w:rPr>
          <w:rFonts w:ascii="Lato" w:hAnsi="Lato" w:eastAsia="Lato"/>
          <w:i w:val="0"/>
          <w:color w:val="26384A"/>
          <w:sz w:val="19"/>
        </w:rPr>
        <w:t>[TABLE INSERT: identifiant de l'exigence; UK paragraphe; statut; page/emplacement du rapport; référence croisée; disposition; identifiant de preuve; examinateur.]</w:t>
      </w:r>
    </w:p>
    <w:p>
      <w:pPr>
        <w:pStyle w:val="Heading2"/>
      </w:pPr>
      <w:r>
        <w:t>11.2 Test de libération par référence croisée</w:t>
      </w:r>
    </w:p>
    <w:p>
      <w:pPr>
        <w:spacing w:before="0" w:after="80" w:line="269" w:lineRule="auto"/>
      </w:pPr>
      <w:r>
        <w:rPr>
          <w:rFonts w:ascii="Lato" w:hAnsi="Lato" w:eastAsia="Lato"/>
          <w:i w:val="0"/>
          <w:color w:val="26384A"/>
          <w:sz w:val="19"/>
        </w:rPr>
        <w:t>[INSERT: document/page/URL exact; heure de sortie; conditions d'accès; version; emplacement des archives; responsable.]</w:t>
      </w:r>
    </w:p>
    <w:p>
      <w:pPr>
        <w:pStyle w:val="Heading2"/>
      </w:pPr>
      <w:r>
        <w:t>11.3 Les produits liés UK déclarations</w:t>
      </w:r>
    </w:p>
    <w:p>
      <w:pPr>
        <w:spacing w:before="0" w:after="80" w:line="269" w:lineRule="auto"/>
      </w:pPr>
      <w:r>
        <w:rPr>
          <w:rFonts w:ascii="Lato" w:hAnsi="Lato" w:eastAsia="Lato"/>
          <w:i w:val="0"/>
          <w:color w:val="26384A"/>
          <w:sz w:val="19"/>
        </w:rPr>
        <w:t>[INSERT: NFSIS, SECR et informations actuelles sur les CAF; note de chevauchement et de réconciliation.]</w:t>
      </w:r>
    </w:p>
    <w:p>
      <w:pPr>
        <w:pStyle w:val="Heading2"/>
      </w:pPr>
      <w:r>
        <w:t>Les indications de preuve et les instructions de contrôle</w:t>
      </w:r>
    </w:p>
    <w:p>
      <w:pPr>
        <w:pStyle w:val="ListBullet"/>
        <w:spacing w:before="0" w:after="60" w:line="259" w:lineRule="auto"/>
      </w:pPr>
      <w:r>
        <w:rPr>
          <w:rFonts w:ascii="Lato" w:hAnsi="Lato" w:eastAsia="Lato"/>
          <w:color w:val="26384A"/>
          <w:sz w:val="19"/>
        </w:rPr>
        <w:t>☐ Aucune référence défectueuse ou générique.</w:t>
      </w:r>
    </w:p>
    <w:p>
      <w:pPr>
        <w:pStyle w:val="ListBullet"/>
        <w:spacing w:before="0" w:after="60" w:line="259" w:lineRule="auto"/>
      </w:pPr>
      <w:r>
        <w:rPr>
          <w:rFonts w:ascii="Lato" w:hAnsi="Lato" w:eastAsia="Lato"/>
          <w:color w:val="26384A"/>
          <w:sz w:val="19"/>
        </w:rPr>
        <w:t>☐ Informations référencées publiées en même temps.</w:t>
      </w:r>
    </w:p>
    <w:p>
      <w:pPr>
        <w:pStyle w:val="ListBullet"/>
        <w:spacing w:before="0" w:after="60" w:line="259" w:lineRule="auto"/>
      </w:pPr>
      <w:r>
        <w:rPr>
          <w:rFonts w:ascii="Lato" w:hAnsi="Lato" w:eastAsia="Lato"/>
          <w:color w:val="26384A"/>
          <w:sz w:val="19"/>
        </w:rPr>
        <w:t>☐ Des sources dynamiques verrouillées ou archivées.</w:t>
      </w:r>
    </w:p>
    <w:p>
      <w:pPr>
        <w:pStyle w:val="ListBullet"/>
        <w:spacing w:before="0" w:after="60" w:line="259" w:lineRule="auto"/>
      </w:pPr>
      <w:r>
        <w:rPr>
          <w:rFonts w:ascii="Lato" w:hAnsi="Lato" w:eastAsia="Lato"/>
          <w:color w:val="26384A"/>
          <w:sz w:val="19"/>
        </w:rPr>
        <w:t>☐ Les revendications spécifiques au cadre restent distinctes.</w:t>
      </w:r>
    </w:p>
    <w:p>
      <w:pPr>
        <w:pStyle w:val="Heading1"/>
      </w:pPr>
      <w:r>
        <w:t>Résumé final de l'approbation par la direction et le conseil d'administration</w:t>
      </w:r>
    </w:p>
    <w:tbl>
      <w:tblPr>
        <w:tblW w:type="auto" w:w="0"/>
        <w:jc w:val="center"/>
        <w:tblLook w:firstColumn="1" w:firstRow="1" w:lastColumn="0" w:lastRow="0" w:noHBand="0" w:noVBand="1" w:val="04A0"/>
        <w:tblLayout w:type="fixed"/>
      </w:tblPr>
      <w:tblGrid>
        <w:gridCol w:w="2509"/>
        <w:gridCol w:w="2509"/>
        <w:gridCol w:w="2509"/>
        <w:gridCol w:w="2509"/>
      </w:tblGrid>
      <w:tr>
        <w:trPr>
          <w:tblHeader w:val="true"/>
        </w:trPr>
        <w:tc>
          <w:tcPr>
            <w:tcW w:type="dxa" w:w="2381"/>
            <w:shd w:fill="173F65"/>
            <w:tcMar>
              <w:top w:w="90" w:type="dxa"/>
              <w:start w:w="80" w:type="dxa"/>
              <w:bottom w:w="90" w:type="dxa"/>
              <w:end w:w="80" w:type="dxa"/>
            </w:tcMar>
            <w:tcBorders>
              <w:top w:val="single" w:sz="4" w:color="C8D2DC"/>
              <w:left w:val="single" w:sz="4" w:color="C8D2DC"/>
              <w:bottom w:val="single" w:sz="4" w:color="C8D2DC"/>
              <w:right w:val="single" w:sz="4" w:color="C8D2DC"/>
            </w:tcBorders>
          </w:tcPr>
          <w:p>
            <w:pPr>
              <w:spacing w:before="0" w:after="0" w:line="240" w:lineRule="auto"/>
              <w:jc w:val="left"/>
            </w:pPr>
            <w:r>
              <w:rPr>
                <w:rFonts w:ascii="Lato" w:hAnsi="Lato" w:eastAsia="Lato"/>
                <w:b/>
                <w:color w:val="FFFFFF"/>
                <w:sz w:val="18"/>
              </w:rPr>
              <w:t>Porte de la ville</w:t>
            </w:r>
          </w:p>
        </w:tc>
        <w:tc>
          <w:tcPr>
            <w:tcW w:type="dxa" w:w="2381"/>
            <w:shd w:fill="173F65"/>
            <w:tcMar>
              <w:top w:w="90" w:type="dxa"/>
              <w:start w:w="80" w:type="dxa"/>
              <w:bottom w:w="90" w:type="dxa"/>
              <w:end w:w="80" w:type="dxa"/>
            </w:tcMar>
            <w:tcBorders>
              <w:top w:val="single" w:sz="4" w:color="C8D2DC"/>
              <w:left w:val="single" w:sz="4" w:color="C8D2DC"/>
              <w:bottom w:val="single" w:sz="4" w:color="C8D2DC"/>
              <w:right w:val="single" w:sz="4" w:color="C8D2DC"/>
            </w:tcBorders>
          </w:tcPr>
          <w:p>
            <w:pPr>
              <w:spacing w:before="0" w:after="0" w:line="240" w:lineRule="auto"/>
              <w:jc w:val="left"/>
            </w:pPr>
            <w:r>
              <w:rPr>
                <w:rFonts w:ascii="Lato" w:hAnsi="Lato" w:eastAsia="Lato"/>
                <w:b/>
                <w:color w:val="FFFFFF"/>
                <w:sz w:val="18"/>
              </w:rPr>
              <w:t>Nom / corps</w:t>
            </w:r>
          </w:p>
        </w:tc>
        <w:tc>
          <w:tcPr>
            <w:tcW w:type="dxa" w:w="2381"/>
            <w:shd w:fill="173F65"/>
            <w:tcMar>
              <w:top w:w="90" w:type="dxa"/>
              <w:start w:w="80" w:type="dxa"/>
              <w:bottom w:w="90" w:type="dxa"/>
              <w:end w:w="80" w:type="dxa"/>
            </w:tcMar>
            <w:tcBorders>
              <w:top w:val="single" w:sz="4" w:color="C8D2DC"/>
              <w:left w:val="single" w:sz="4" w:color="C8D2DC"/>
              <w:bottom w:val="single" w:sz="4" w:color="C8D2DC"/>
              <w:right w:val="single" w:sz="4" w:color="C8D2DC"/>
            </w:tcBorders>
          </w:tcPr>
          <w:p>
            <w:pPr>
              <w:spacing w:before="0" w:after="0" w:line="240" w:lineRule="auto"/>
              <w:jc w:val="left"/>
            </w:pPr>
            <w:r>
              <w:rPr>
                <w:rFonts w:ascii="Lato" w:hAnsi="Lato" w:eastAsia="Lato"/>
                <w:b/>
                <w:color w:val="FFFFFF"/>
                <w:sz w:val="18"/>
              </w:rPr>
              <w:t>Décision / date</w:t>
            </w:r>
          </w:p>
        </w:tc>
        <w:tc>
          <w:tcPr>
            <w:tcW w:type="dxa" w:w="2665"/>
            <w:shd w:fill="173F65"/>
            <w:tcMar>
              <w:top w:w="90" w:type="dxa"/>
              <w:start w:w="80" w:type="dxa"/>
              <w:bottom w:w="90" w:type="dxa"/>
              <w:end w:w="80" w:type="dxa"/>
            </w:tcMar>
            <w:tcBorders>
              <w:top w:val="single" w:sz="4" w:color="C8D2DC"/>
              <w:left w:val="single" w:sz="4" w:color="C8D2DC"/>
              <w:bottom w:val="single" w:sz="4" w:color="C8D2DC"/>
              <w:right w:val="single" w:sz="4" w:color="C8D2DC"/>
            </w:tcBorders>
          </w:tcPr>
          <w:p>
            <w:pPr>
              <w:spacing w:before="0" w:after="0" w:line="240" w:lineRule="auto"/>
              <w:jc w:val="left"/>
            </w:pPr>
            <w:r>
              <w:rPr>
                <w:rFonts w:ascii="Lato" w:hAnsi="Lato" w:eastAsia="Lato"/>
                <w:b/>
                <w:color w:val="FFFFFF"/>
                <w:sz w:val="18"/>
              </w:rPr>
              <w:t>Actions ouvertes</w:t>
            </w:r>
          </w:p>
        </w:tc>
      </w:tr>
      <w:tr>
        <w:tc>
          <w:tcPr>
            <w:tcW w:type="dxa" w:w="238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Certification du propriétaire des données</w:t>
            </w:r>
          </w:p>
        </w:tc>
        <w:tc>
          <w:tcPr>
            <w:tcW w:type="dxa" w:w="238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c>
          <w:tcPr>
            <w:tcW w:type="dxa" w:w="238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c>
          <w:tcPr>
            <w:tcW w:type="dxa" w:w="2665"/>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r>
        <w:tc>
          <w:tcPr>
            <w:tcW w:type="dxa" w:w="238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Révision technique</w:t>
            </w:r>
          </w:p>
        </w:tc>
        <w:tc>
          <w:tcPr>
            <w:tcW w:type="dxa" w:w="238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c>
          <w:tcPr>
            <w:tcW w:type="dxa" w:w="238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c>
          <w:tcPr>
            <w:tcW w:type="dxa" w:w="2665"/>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r>
        <w:tc>
          <w:tcPr>
            <w:tcW w:type="dxa" w:w="238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Cohérence financière / financière</w:t>
            </w:r>
          </w:p>
        </w:tc>
        <w:tc>
          <w:tcPr>
            <w:tcW w:type="dxa" w:w="238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c>
          <w:tcPr>
            <w:tcW w:type="dxa" w:w="238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c>
          <w:tcPr>
            <w:tcW w:type="dxa" w:w="2665"/>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r>
        <w:tc>
          <w:tcPr>
            <w:tcW w:type="dxa" w:w="238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Secrétaire juridique / société</w:t>
            </w:r>
          </w:p>
        </w:tc>
        <w:tc>
          <w:tcPr>
            <w:tcW w:type="dxa" w:w="238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c>
          <w:tcPr>
            <w:tcW w:type="dxa" w:w="238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c>
          <w:tcPr>
            <w:tcW w:type="dxa" w:w="2665"/>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r>
        <w:tc>
          <w:tcPr>
            <w:tcW w:type="dxa" w:w="238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Audit interne / examen de la préparation</w:t>
            </w:r>
          </w:p>
        </w:tc>
        <w:tc>
          <w:tcPr>
            <w:tcW w:type="dxa" w:w="238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c>
          <w:tcPr>
            <w:tcW w:type="dxa" w:w="238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c>
          <w:tcPr>
            <w:tcW w:type="dxa" w:w="2665"/>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r>
        <w:tc>
          <w:tcPr>
            <w:tcW w:type="dxa" w:w="238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Recommandation du comité d'audit</w:t>
            </w:r>
          </w:p>
        </w:tc>
        <w:tc>
          <w:tcPr>
            <w:tcW w:type="dxa" w:w="238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c>
          <w:tcPr>
            <w:tcW w:type="dxa" w:w="238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c>
          <w:tcPr>
            <w:tcW w:type="dxa" w:w="2665"/>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r>
        <w:tc>
          <w:tcPr>
            <w:tcW w:type="dxa" w:w="238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Approbation du conseil d'administration</w:t>
            </w:r>
          </w:p>
        </w:tc>
        <w:tc>
          <w:tcPr>
            <w:tcW w:type="dxa" w:w="238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c>
          <w:tcPr>
            <w:tcW w:type="dxa" w:w="238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c>
          <w:tcPr>
            <w:tcW w:type="dxa" w:w="2665"/>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r>
        <w:tc>
          <w:tcPr>
            <w:tcW w:type="dxa" w:w="238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Certification de libération</w:t>
            </w:r>
          </w:p>
        </w:tc>
        <w:tc>
          <w:tcPr>
            <w:tcW w:type="dxa" w:w="238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c>
          <w:tcPr>
            <w:tcW w:type="dxa" w:w="238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c>
          <w:tcPr>
            <w:tcW w:type="dxa" w:w="2665"/>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pPr>
            <w:r>
              <w:rPr>
                <w:rFonts w:ascii="Lato" w:hAnsi="Lato" w:eastAsia="Lato"/>
                <w:b w:val="0"/>
                <w:color w:val="26384A"/>
                <w:sz w:val="17"/>
              </w:rPr>
              <w:t>[INSERT]</w:t>
            </w:r>
          </w:p>
        </w:tc>
      </w:tr>
    </w:tbl>
    <w:p>
      <w:pPr>
        <w:spacing w:after="0"/>
      </w:pPr>
    </w:p>
    <w:tbl>
      <w:tblPr>
        <w:tblW w:type="auto" w:w="0"/>
        <w:jc w:val="center"/>
        <w:tblLook w:firstColumn="1" w:firstRow="1" w:lastColumn="0" w:lastRow="0" w:noHBand="0" w:noVBand="1" w:val="04A0"/>
        <w:tblLayout w:type="fixed"/>
      </w:tblPr>
      <w:tblGrid>
        <w:gridCol w:w="10036"/>
      </w:tblGrid>
      <w:tr>
        <w:trPr>
          <w:cantSplit/>
        </w:trPr>
        <w:tc>
          <w:tcPr>
            <w:tcW w:type="dxa" w:w="10036"/>
            <w:shd w:fill="FFF2CC"/>
            <w:tcMar>
              <w:top w:w="120" w:type="dxa"/>
              <w:start w:w="150" w:type="dxa"/>
              <w:bottom w:w="120" w:type="dxa"/>
              <w:end w:w="150" w:type="dxa"/>
            </w:tcMar>
            <w:tcBorders>
              <w:left w:val="single" w:sz="18" w:color="7F6000"/>
            </w:tcBorders>
          </w:tcPr>
          <w:p>
            <w:pPr>
              <w:spacing w:before="0" w:after="60" w:line="240" w:lineRule="auto"/>
            </w:pPr>
            <w:r>
              <w:rPr>
                <w:rFonts w:ascii="Lato" w:hAnsi="Lato" w:eastAsia="Lato"/>
                <w:b/>
                <w:color w:val="7F6000"/>
                <w:sz w:val="17"/>
              </w:rPr>
              <w:t>FINAL LIMITATION</w:t>
            </w:r>
          </w:p>
          <w:p>
            <w:pPr>
              <w:spacing w:before="0" w:after="0" w:line="259" w:lineRule="auto"/>
            </w:pPr>
            <w:r>
              <w:rPr>
                <w:rFonts w:ascii="Lato" w:hAnsi="Lato" w:eastAsia="Lato"/>
                <w:b/>
                <w:color w:val="7F6000"/>
                <w:sz w:val="18"/>
              </w:rPr>
              <w:t>Les instructions de rédaction illustratives ne remplacent pas la fin UK Les normes SRS, les décisions relatives à la pertinence et à l'applicabilité spécifiques à l'entité, le conseil juridique, les contrôles internes ou l'assurance indépendante.</w:t>
            </w:r>
          </w:p>
        </w:tc>
      </w:tr>
    </w:tbl>
    <w:p>
      <w:pPr>
        <w:spacing w:after="0"/>
      </w:pPr>
    </w:p>
    <w:sectPr w:rsidR="00FC693F" w:rsidRPr="0006063C" w:rsidSect="00034616">
      <w:headerReference w:type="default" r:id="rId9"/>
      <w:footerReference w:type="default" r:id="rId10"/>
      <w:pgSz w:w="11906" w:h="16838"/>
      <w:pgMar w:top="879" w:right="935" w:bottom="822" w:left="935" w:header="255" w:footer="25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tblLook w:firstColumn="1" w:firstRow="1" w:lastColumn="0" w:lastRow="0" w:noHBand="0" w:noVBand="1" w:val="04A0"/>
      <w:jc w:val="center"/>
      <w:tblLayout w:type="fixed"/>
    </w:tblPr>
    <w:tblGrid>
      <w:gridCol w:w="3345"/>
      <w:gridCol w:w="3345"/>
      <w:gridCol w:w="3345"/>
    </w:tblGrid>
    <w:tr>
      <w:tc>
        <w:tcPr>
          <w:tcW w:type="dxa" w:w="3628"/>
          <w:tcMar>
            <w:top w:w="15" w:type="dxa"/>
            <w:start w:w="0" w:type="dxa"/>
            <w:bottom w:w="0" w:type="dxa"/>
            <w:end w:w="0" w:type="dxa"/>
          </w:tcMar>
          <w:tcBorders>
            <w:top w:val="single" w:sz="6" w:color="C8D2DC"/>
          </w:tcBorders>
        </w:tcPr>
        <w:p>
          <w:pPr>
            <w:spacing w:before="0" w:after="0" w:line="240" w:lineRule="auto"/>
          </w:pPr>
          <w:r>
            <w:rPr>
              <w:rFonts w:ascii="Lato" w:hAnsi="Lato" w:eastAsia="Lato"/>
              <w:color w:val="667788"/>
              <w:sz w:val="15"/>
            </w:rPr>
            <w:t>UKSRS-S2-TPL-001  · Version 1.0</w:t>
          </w:r>
        </w:p>
      </w:tc>
      <w:tc>
        <w:tcPr>
          <w:tcW w:type="dxa" w:w="3685"/>
          <w:tcMar>
            <w:top w:w="15" w:type="dxa"/>
            <w:start w:w="0" w:type="dxa"/>
            <w:bottom w:w="0" w:type="dxa"/>
            <w:end w:w="0" w:type="dxa"/>
          </w:tcMar>
          <w:tcBorders>
            <w:top w:val="single" w:sz="6" w:color="C8D2DC"/>
          </w:tcBorders>
        </w:tcPr>
        <w:p>
          <w:pPr>
            <w:spacing w:before="0" w:after="0" w:line="240" w:lineRule="auto"/>
            <w:jc w:val="center"/>
          </w:pPr>
          <w:r>
            <w:rPr>
              <w:rFonts w:ascii="Lato" w:hAnsi="Lato" w:eastAsia="Lato"/>
              <w:color w:val="667788"/>
              <w:sz w:val="15"/>
            </w:rPr>
            <w:t>Réservation technique: 3 Août 2026</w:t>
          </w:r>
        </w:p>
      </w:tc>
      <w:tc>
        <w:tcPr>
          <w:tcW w:type="dxa" w:w="2721"/>
          <w:tcMar>
            <w:top w:w="15" w:type="dxa"/>
            <w:start w:w="0" w:type="dxa"/>
            <w:bottom w:w="0" w:type="dxa"/>
            <w:end w:w="0" w:type="dxa"/>
          </w:tcMar>
          <w:tcBorders>
            <w:top w:val="single" w:sz="6" w:color="C8D2DC"/>
          </w:tcBorders>
        </w:tcPr>
        <w:p>
          <w:pPr>
            <w:jc w:val="right"/>
          </w:pPr>
          <w:r>
            <w:rPr>
              <w:rFonts w:ascii="Lato" w:hAnsi="Lato" w:eastAsia="Lato"/>
              <w:color w:val="667788"/>
              <w:sz w:val="16"/>
            </w:rPr>
            <w:fldChar w:fldCharType="begin"/>
            <w:instrText xml:space="preserve"> PAGE </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tblLook w:firstColumn="1" w:firstRow="1" w:lastColumn="0" w:lastRow="0" w:noHBand="0" w:noVBand="1" w:val="04A0"/>
      <w:jc w:val="center"/>
      <w:tblLayout w:type="fixed"/>
    </w:tblPr>
    <w:tblGrid>
      <w:gridCol w:w="5017"/>
      <w:gridCol w:w="5017"/>
    </w:tblGrid>
    <w:tr>
      <w:tc>
        <w:tcPr>
          <w:tcW w:type="dxa" w:w="7257"/>
          <w:tcMar>
            <w:top w:w="20" w:type="dxa"/>
            <w:start w:w="0" w:type="dxa"/>
            <w:bottom w:w="20" w:type="dxa"/>
            <w:end w:w="0" w:type="dxa"/>
          </w:tcMar>
          <w:tcBorders>
            <w:bottom w:val="single" w:sz="8" w:color="2A6F97"/>
          </w:tcBorders>
        </w:tcPr>
        <w:p>
          <w:pPr>
            <w:spacing w:before="0" w:after="0" w:line="240" w:lineRule="auto"/>
            <w:jc w:val="left"/>
          </w:pPr>
          <w:r>
            <w:rPr>
              <w:rFonts w:ascii="Lato" w:hAnsi="Lato" w:eastAsia="Lato"/>
              <w:b/>
              <w:color w:val="667788"/>
              <w:sz w:val="16"/>
            </w:rPr>
            <w:t>LONDON REPORTING ACADEMY  ·  CENTRE DE CONNAISSANCES</w:t>
          </w:r>
        </w:p>
      </w:tc>
      <w:tc>
        <w:tcPr>
          <w:tcW w:type="dxa" w:w="2778"/>
          <w:tcMar>
            <w:top w:w="20" w:type="dxa"/>
            <w:start w:w="0" w:type="dxa"/>
            <w:bottom w:w="20" w:type="dxa"/>
            <w:end w:w="0" w:type="dxa"/>
          </w:tcMar>
          <w:tcBorders>
            <w:bottom w:val="single" w:sz="8" w:color="2A6F97"/>
          </w:tcBorders>
        </w:tcPr>
        <w:p>
          <w:pPr>
            <w:spacing w:before="0" w:after="0" w:line="240" w:lineRule="auto"/>
            <w:jc w:val="right"/>
          </w:pPr>
          <w:r>
            <w:drawing>
              <wp:inline xmlns:a="http://schemas.openxmlformats.org/drawingml/2006/main" xmlns:pic="http://schemas.openxmlformats.org/drawingml/2006/picture">
                <wp:extent cx="1260000" cy="756000"/>
                <wp:docPr id="1" name="Picture 1" descr="London Reporting Academy logo" title="London Reporting Academy logo"/>
                <wp:cNvGraphicFramePr>
                  <a:graphicFrameLocks noChangeAspect="1"/>
                </wp:cNvGraphicFramePr>
                <a:graphic>
                  <a:graphicData uri="http://schemas.openxmlformats.org/drawingml/2006/picture">
                    <pic:pic>
                      <pic:nvPicPr>
                        <pic:cNvPr id="0" name="LRA_logo.png"/>
                        <pic:cNvPicPr/>
                      </pic:nvPicPr>
                      <pic:blipFill>
                        <a:blip r:embed="rId1"/>
                        <a:stretch>
                          <a:fillRect/>
                        </a:stretch>
                      </pic:blipFill>
                      <pic:spPr>
                        <a:xfrm>
                          <a:off x="0" y="0"/>
                          <a:ext cx="1260000" cy="756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Lato" w:hAnsi="Lato" w:eastAsia="Lato"/>
      <w:color w:val="26384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Lato" w:hAnsi="Lato" w:eastAsia="Lato"/>
      <w:b/>
      <w:bCs/>
      <w:color w:val="173F65"/>
      <w:sz w:val="4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Lato" w:hAnsi="Lato" w:eastAsia="Lato"/>
      <w:b/>
      <w:bCs/>
      <w:color w:val="2A6F97"/>
      <w:sz w:val="31"/>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Lato" w:hAnsi="Lato" w:eastAsia="Lato"/>
      <w:b/>
      <w:bCs/>
      <w:color w:val="173F65"/>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Lato" w:hAnsi="Lato" w:eastAsia="Lato"/>
      <w:b/>
      <w:color w:val="173F65"/>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60"/>
    </w:pPr>
    <w:rPr>
      <w:rFonts w:asciiTheme="majorHAnsi" w:eastAsiaTheme="majorEastAsia" w:hAnsiTheme="majorHAnsi" w:cstheme="majorBidi" w:ascii="Lato" w:hAnsi="Lato" w:eastAsia="Lato"/>
      <w:b/>
      <w:i/>
      <w:iCs/>
      <w:color w:val="667788"/>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59" w:lineRule="auto"/>
      <w:contextualSpacing/>
    </w:pPr>
    <w:rPr>
      <w:rFonts w:ascii="Lato" w:hAnsi="Lato" w:eastAsia="Lato"/>
      <w:color w:val="26384A"/>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line="259" w:lineRule="auto"/>
      <w:contextualSpacing/>
    </w:pPr>
    <w:rPr>
      <w:rFonts w:ascii="Lato" w:hAnsi="Lato" w:eastAsia="Lato"/>
      <w:color w:val="26384A"/>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RASmall">
    <w:name w:val="LRA Small"/>
    <w:pPr>
      <w:spacing w:after="60" w:line="240" w:lineRule="auto"/>
    </w:pPr>
    <w:rPr>
      <w:rFonts w:ascii="Lato" w:hAnsi="Lato" w:eastAsia="Lato"/>
      <w:color w:val="667788"/>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UK SRS S2 Annual Report Disclosure Template</dc:title>
  <dc:subject>Editable structure and drafting prompts for basis of preparation, four pillars, scenarios, GHG, financial effects, judgements, provisions, cross-references and approval</dc:subject>
  <dc:creator>London Reporting Academy</dc:creator>
  <cp:keywords>UK SRS S2 report template, annual report, climate disclosure</cp:keywords>
  <dc:description>Prepared as a London Reporting Academy Knowledge Card Package.</dc:description>
  <cp:lastModifiedBy>London Reporting Academy</cp:lastModifiedBy>
  <cp:revision>1</cp:revision>
  <dcterms:created xsi:type="dcterms:W3CDTF">2013-12-23T23:15:00Z</dcterms:created>
  <dcterms:modified xsi:type="dcterms:W3CDTF">2013-12-23T23:15:00Z</dcterms:modified>
  <cp:category/>
</cp:coreProperties>
</file>