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4069080" cy="674611"/>
            <wp:docPr id="1" name="Picture 1" descr="London Reporting Academy logo"/>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69080" cy="674611"/>
                    </a:xfrm>
                    <a:prstGeom prst="rect"/>
                  </pic:spPr>
                </pic:pic>
              </a:graphicData>
            </a:graphic>
          </wp:inline>
        </w:drawing>
      </w:r>
    </w:p>
    <w:p>
      <w:r>
        <w:rPr>
          <w:rFonts w:ascii="Arial" w:hAnsi="Arial" w:eastAsia="Arial"/>
          <w:b/>
          <w:color w:val="1F5E8C"/>
          <w:sz w:val="21"/>
        </w:rPr>
        <w:t>LRA CENTRE DE CONNAISSANCES  ·  UK SRS S1</w:t>
      </w:r>
    </w:p>
    <w:p>
      <w:pPr>
        <w:pStyle w:val="Title"/>
        <w:keepNext/>
        <w:pBdr>
          <w:bottom w:val="single" w:sz="12" w:space="5" w:color="2F75B5"/>
        </w:pBdr>
      </w:pPr>
      <w:r>
        <w:t>UK SRS S1 Kit d'outils de travail du premier cycle</w:t>
      </w:r>
    </w:p>
    <w:p>
      <w:pPr>
        <w:pStyle w:val="Subtitle"/>
      </w:pPr>
      <w:r>
        <w:t>Les registres éditables et les aides à l'homologation pour la base de rapports, la planification de la mise en œuvre, le paragraphe E3, les créances, la pertinence, l'identification des risques et opportunités, les mesures, les effets financiers et la confirmation du conseil.</w:t>
      </w:r>
    </w:p>
    <w:tbl>
      <w:tblPr>
        <w:tblStyle w:val="TableGrid"/>
        <w:tblW w:type="auto" w:w="0"/>
        <w:jc w:val="center"/>
        <w:tblLook w:firstColumn="1" w:firstRow="1" w:lastColumn="0" w:lastRow="0" w:noHBand="0" w:noVBand="1" w:val="04A0"/>
      </w:tblPr>
      <w:tblGrid>
        <w:gridCol w:w="4904"/>
        <w:gridCol w:w="4904"/>
      </w:tblGrid>
      <w:tr>
        <w:tc>
          <w:tcPr>
            <w:tcW w:type="dxa" w:w="9808"/>
            <w:gridSpan w:val="2"/>
            <w:shd w:fill="173B6C"/>
          </w:tcPr>
          <w:p>
            <w:r/>
          </w:p>
        </w:tc>
      </w:tr>
      <w:tr>
        <w:tc>
          <w:tcPr>
            <w:tcW w:type="dxa" w:w="4904"/>
            <w:shd w:fill="EAF2F8"/>
            <w:tcMar>
              <w:top w:w="90" w:type="dxa"/>
              <w:start w:w="110" w:type="dxa"/>
              <w:bottom w:w="90" w:type="dxa"/>
              <w:end w:w="110" w:type="dxa"/>
            </w:tcMar>
            <w:vAlign w:val="center"/>
          </w:tcPr>
          <w:p>
            <w:r>
              <w:rPr>
                <w:rFonts w:ascii="Arial" w:hAnsi="Arial" w:eastAsia="Arial"/>
                <w:b/>
                <w:color w:val="173B6C"/>
                <w:sz w:val="18"/>
              </w:rPr>
              <w:t>Identification de la collecte</w:t>
            </w:r>
          </w:p>
        </w:tc>
        <w:tc>
          <w:tcPr>
            <w:tcW w:type="dxa" w:w="4904"/>
            <w:tcMar>
              <w:top w:w="90" w:type="dxa"/>
              <w:start w:w="110" w:type="dxa"/>
              <w:bottom w:w="90" w:type="dxa"/>
              <w:end w:w="110" w:type="dxa"/>
            </w:tcMar>
            <w:vAlign w:val="center"/>
          </w:tcPr>
          <w:p>
            <w:r>
              <w:rPr>
                <w:rFonts w:ascii="Arial" w:hAnsi="Arial" w:eastAsia="Arial"/>
                <w:color w:val="1C2733"/>
                <w:sz w:val="18"/>
              </w:rPr>
              <w:t>UKSRS1-TOOL-006</w:t>
            </w:r>
          </w:p>
        </w:tc>
      </w:tr>
      <w:tr>
        <w:tc>
          <w:tcPr>
            <w:tcW w:type="dxa" w:w="4904"/>
            <w:shd w:fill="EAF2F8"/>
            <w:tcMar>
              <w:top w:w="90" w:type="dxa"/>
              <w:start w:w="110" w:type="dxa"/>
              <w:bottom w:w="90" w:type="dxa"/>
              <w:end w:w="110" w:type="dxa"/>
            </w:tcMar>
            <w:vAlign w:val="center"/>
          </w:tcPr>
          <w:p>
            <w:r>
              <w:rPr>
                <w:rFonts w:ascii="Arial" w:hAnsi="Arial" w:eastAsia="Arial"/>
                <w:b/>
                <w:color w:val="173B6C"/>
                <w:sz w:val="18"/>
              </w:rPr>
              <w:t>Formatation</w:t>
            </w:r>
          </w:p>
        </w:tc>
        <w:tc>
          <w:tcPr>
            <w:tcW w:type="dxa" w:w="4904"/>
            <w:tcMar>
              <w:top w:w="90" w:type="dxa"/>
              <w:start w:w="110" w:type="dxa"/>
              <w:bottom w:w="90" w:type="dxa"/>
              <w:end w:w="110" w:type="dxa"/>
            </w:tcMar>
            <w:vAlign w:val="center"/>
          </w:tcPr>
          <w:p>
            <w:r>
              <w:rPr>
                <w:rFonts w:ascii="Arial" w:hAnsi="Arial" w:eastAsia="Arial"/>
                <w:color w:val="1C2733"/>
                <w:sz w:val="18"/>
              </w:rPr>
              <w:t>Kit d'outils de mise en œuvre</w:t>
            </w:r>
          </w:p>
        </w:tc>
      </w:tr>
      <w:tr>
        <w:tc>
          <w:tcPr>
            <w:tcW w:type="dxa" w:w="4904"/>
            <w:shd w:fill="EAF2F8"/>
            <w:tcMar>
              <w:top w:w="90" w:type="dxa"/>
              <w:start w:w="110" w:type="dxa"/>
              <w:bottom w:w="90" w:type="dxa"/>
              <w:end w:w="110" w:type="dxa"/>
            </w:tcMar>
            <w:vAlign w:val="center"/>
          </w:tcPr>
          <w:p>
            <w:r>
              <w:rPr>
                <w:rFonts w:ascii="Arial" w:hAnsi="Arial" w:eastAsia="Arial"/>
                <w:b/>
                <w:color w:val="173B6C"/>
                <w:sz w:val="18"/>
              </w:rPr>
              <w:t>Le public primaire</w:t>
            </w:r>
          </w:p>
        </w:tc>
        <w:tc>
          <w:tcPr>
            <w:tcW w:type="dxa" w:w="4904"/>
            <w:tcMar>
              <w:top w:w="90" w:type="dxa"/>
              <w:start w:w="110" w:type="dxa"/>
              <w:bottom w:w="90" w:type="dxa"/>
              <w:end w:w="110" w:type="dxa"/>
            </w:tcMar>
            <w:vAlign w:val="center"/>
          </w:tcPr>
          <w:p>
            <w:r>
              <w:rPr>
                <w:rFonts w:ascii="Arial" w:hAnsi="Arial" w:eastAsia="Arial"/>
                <w:color w:val="1C2733"/>
                <w:sz w:val="18"/>
              </w:rPr>
              <w:t>Rapport des équipes de projet, finances, risques, secrétariat des entreprises, auditeurs juridiques, internes et techniques</w:t>
            </w:r>
          </w:p>
        </w:tc>
      </w:tr>
      <w:tr>
        <w:tc>
          <w:tcPr>
            <w:tcW w:type="dxa" w:w="4904"/>
            <w:shd w:fill="EAF2F8"/>
            <w:tcMar>
              <w:top w:w="90" w:type="dxa"/>
              <w:start w:w="110" w:type="dxa"/>
              <w:bottom w:w="90" w:type="dxa"/>
              <w:end w:w="110" w:type="dxa"/>
            </w:tcMar>
            <w:vAlign w:val="center"/>
          </w:tcPr>
          <w:p>
            <w:r>
              <w:rPr>
                <w:rFonts w:ascii="Arial" w:hAnsi="Arial" w:eastAsia="Arial"/>
                <w:b/>
                <w:color w:val="173B6C"/>
                <w:sz w:val="18"/>
              </w:rPr>
              <w:t>Statut technique</w:t>
            </w:r>
          </w:p>
        </w:tc>
        <w:tc>
          <w:tcPr>
            <w:tcW w:type="dxa" w:w="4904"/>
            <w:tcMar>
              <w:top w:w="90" w:type="dxa"/>
              <w:start w:w="110" w:type="dxa"/>
              <w:bottom w:w="90" w:type="dxa"/>
              <w:end w:w="110" w:type="dxa"/>
            </w:tcMar>
            <w:vAlign w:val="center"/>
          </w:tcPr>
          <w:p>
            <w:r>
              <w:rPr>
                <w:rFonts w:ascii="Arial" w:hAnsi="Arial" w:eastAsia="Arial"/>
                <w:color w:val="1C2733"/>
                <w:sz w:val="18"/>
              </w:rPr>
              <w:t>Préparé sur la base des éditions des UK SRS publiées le 25 février 2026 ; révisé le 6 août 2026.</w:t>
            </w:r>
          </w:p>
        </w:tc>
      </w:tr>
    </w:tbl>
    <w:p/>
    <w:p>
      <w:r>
        <w:rPr>
          <w:rFonts w:ascii="Arial" w:hAnsi="Arial" w:eastAsia="Arial"/>
          <w:i/>
          <w:color w:val="66717F"/>
          <w:sz w:val="18"/>
        </w:rPr>
        <w:t>Matériel pédagogique destiné aux professionnels. Les exemples illustratifs et les formulations doivent être adaptés et faire l’objet d’un examen technique.</w:t>
      </w:r>
    </w:p>
    <w:p>
      <w:r>
        <w:br w:type="page"/>
      </w:r>
    </w:p>
    <w:tbl>
      <w:tblPr>
        <w:tblStyle w:val="TableGrid"/>
        <w:tblW w:type="auto" w:w="0"/>
        <w:tblLook w:firstColumn="1" w:firstRow="1" w:lastColumn="0" w:lastRow="0" w:noHBand="0" w:noVBand="1" w:val="04A0"/>
      </w:tblPr>
      <w:tblGrid>
        <w:gridCol w:w="9808"/>
      </w:tblGrid>
      <w:tr>
        <w:tc>
          <w:tcPr>
            <w:tcW w:type="dxa" w:w="9808"/>
            <w:shd w:fill="FFF4DD"/>
            <w:tcMar>
              <w:top w:w="120" w:type="dxa"/>
              <w:start w:w="150" w:type="dxa"/>
              <w:bottom w:w="120" w:type="dxa"/>
              <w:end w:w="150" w:type="dxa"/>
            </w:tcMar>
            <w:tcBorders>
              <w:top w:val="single" w:sz="4" w:color="B6C7D8"/>
              <w:bottom w:val="single" w:sz="4" w:color="B6C7D8"/>
              <w:right w:val="single" w:sz="4" w:color="B6C7D8"/>
              <w:left w:val="single" w:sz="18" w:color="B36B00"/>
            </w:tcBorders>
          </w:tcPr>
          <w:p>
            <w:r>
              <w:rPr>
                <w:rFonts w:ascii="Arial" w:hAnsi="Arial" w:eastAsia="Arial"/>
                <w:b/>
                <w:color w:val="B36B00"/>
                <w:sz w:val="20"/>
              </w:rPr>
              <w:t>Note d'utilisation Ces tables sont des aides à la tâche, non prescrites UK Les modèles SRS. Adapter les champs, les propriétaires et les niveaux d'approbation à l'entité.</w:t>
              <w:br/>
            </w:r>
            <w:r>
              <w:rPr>
                <w:rFonts w:ascii="Arial" w:hAnsi="Arial" w:eastAsia="Arial"/>
                <w:color w:val="1C2733"/>
                <w:sz w:val="18"/>
              </w:rPr>
              <w:t/>
            </w:r>
          </w:p>
        </w:tc>
      </w:tr>
    </w:tbl>
    <w:p/>
    <w:p>
      <w:pPr>
        <w:pStyle w:val="Heading2"/>
        <w:keepNext/>
      </w:pPr>
      <w:r>
        <w:t>Outil de communication 1 - base de déclaration et décision de réclamation</w:t>
      </w:r>
    </w:p>
    <w:tbl>
      <w:tblPr>
        <w:tblStyle w:val="TableGrid"/>
        <w:tblW w:type="auto" w:w="0"/>
        <w:jc w:val="center"/>
        <w:tblLook w:firstColumn="1" w:firstRow="1" w:lastColumn="0" w:lastRow="0" w:noHBand="0" w:noVBand="1" w:val="04A0"/>
      </w:tblPr>
      <w:tblGrid>
        <w:gridCol w:w="3269"/>
        <w:gridCol w:w="3269"/>
        <w:gridCol w:w="3269"/>
      </w:tblGrid>
      <w:tr>
        <w:trPr>
          <w:tblHeader w:val="true"/>
        </w:trPr>
        <w:tc>
          <w:tcPr>
            <w:tcW w:type="dxa" w:w="3269"/>
            <w:shd w:fill="173B6C"/>
            <w:tcMar>
              <w:top w:w="80" w:type="dxa"/>
              <w:start w:w="80" w:type="dxa"/>
              <w:bottom w:w="80" w:type="dxa"/>
              <w:end w:w="80" w:type="dxa"/>
            </w:tcMar>
          </w:tcPr>
          <w:p>
            <w:r>
              <w:rPr>
                <w:rFonts w:ascii="Arial" w:hAnsi="Arial" w:eastAsia="Arial"/>
                <w:b/>
                <w:color w:val="FFFFFF"/>
                <w:sz w:val="16"/>
              </w:rPr>
              <w:t>champs</w:t>
            </w:r>
          </w:p>
        </w:tc>
        <w:tc>
          <w:tcPr>
            <w:tcW w:type="dxa" w:w="3269"/>
            <w:shd w:fill="173B6C"/>
            <w:tcMar>
              <w:top w:w="80" w:type="dxa"/>
              <w:start w:w="80" w:type="dxa"/>
              <w:bottom w:w="80" w:type="dxa"/>
              <w:end w:w="80" w:type="dxa"/>
            </w:tcMar>
          </w:tcPr>
          <w:p>
            <w:r>
              <w:rPr>
                <w:rFonts w:ascii="Arial" w:hAnsi="Arial" w:eastAsia="Arial"/>
                <w:b/>
                <w:color w:val="FFFFFF"/>
                <w:sz w:val="16"/>
              </w:rPr>
              <w:t>Décision / description</w:t>
            </w:r>
          </w:p>
        </w:tc>
        <w:tc>
          <w:tcPr>
            <w:tcW w:type="dxa" w:w="3269"/>
            <w:shd w:fill="173B6C"/>
            <w:tcMar>
              <w:top w:w="80" w:type="dxa"/>
              <w:start w:w="80" w:type="dxa"/>
              <w:bottom w:w="80" w:type="dxa"/>
              <w:end w:w="80" w:type="dxa"/>
            </w:tcMar>
          </w:tcPr>
          <w:p>
            <w:r>
              <w:rPr>
                <w:rFonts w:ascii="Arial" w:hAnsi="Arial" w:eastAsia="Arial"/>
                <w:b/>
                <w:color w:val="FFFFFF"/>
                <w:sz w:val="16"/>
              </w:rPr>
              <w:t>Prove / propriétaire</w:t>
            </w:r>
          </w:p>
        </w:tc>
      </w:tr>
      <w:tr>
        <w:tc>
          <w:tcPr>
            <w:tcW w:type="dxa" w:w="3269"/>
            <w:shd w:fill="F4F6F8"/>
            <w:tcMar>
              <w:top w:w="75" w:type="dxa"/>
              <w:start w:w="80" w:type="dxa"/>
              <w:bottom w:w="75" w:type="dxa"/>
              <w:end w:w="80" w:type="dxa"/>
            </w:tcMar>
          </w:tcPr>
          <w:p>
            <w:r>
              <w:rPr>
                <w:rFonts w:ascii="Arial" w:hAnsi="Arial" w:eastAsia="Arial"/>
                <w:b/>
                <w:color w:val="1C2733"/>
                <w:sz w:val="16"/>
              </w:rPr>
              <w:t>Entité déclarante</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Periode de déclaration</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Route de déclaration: volontaire / loi / règlement</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Normes et éditions appliquées</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Localisation et calendrier de publication du rapport</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Paragraphe E3 utilisé ?</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Intégré UK SRS S1 déclaration</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Intégré UK SRS S2 déclaration</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Autres cadres ou revendications</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Les allégations, les exemptions et les limitations</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Organismes et dates d'approbation</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Détecteurs de mise à jour réglementaire</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bl>
    <w:p/>
    <w:p>
      <w:pPr>
        <w:pStyle w:val="Heading2"/>
        <w:keepNext/>
      </w:pPr>
      <w:r>
        <w:t>Outil de communication 2 - plan de mise en œuvre sur douze mois</w:t>
      </w:r>
    </w:p>
    <w:tbl>
      <w:tblPr>
        <w:tblStyle w:val="TableGrid"/>
        <w:tblW w:type="auto" w:w="0"/>
        <w:jc w:val="center"/>
        <w:tblLook w:firstColumn="1" w:firstRow="1" w:lastColumn="0" w:lastRow="0" w:noHBand="0" w:noVBand="1" w:val="04A0"/>
      </w:tblPr>
      <w:tblGrid>
        <w:gridCol w:w="2452"/>
        <w:gridCol w:w="2452"/>
        <w:gridCol w:w="2452"/>
        <w:gridCol w:w="2452"/>
      </w:tblGrid>
      <w:tr>
        <w:trPr>
          <w:tblHeader w:val="true"/>
        </w:trPr>
        <w:tc>
          <w:tcPr>
            <w:tcW w:type="dxa" w:w="2452"/>
            <w:shd w:fill="173B6C"/>
            <w:tcMar>
              <w:top w:w="80" w:type="dxa"/>
              <w:start w:w="80" w:type="dxa"/>
              <w:bottom w:w="80" w:type="dxa"/>
              <w:end w:w="80" w:type="dxa"/>
            </w:tcMar>
          </w:tcPr>
          <w:p>
            <w:r>
              <w:rPr>
                <w:rFonts w:ascii="Arial" w:hAnsi="Arial" w:eastAsia="Arial"/>
                <w:b/>
                <w:color w:val="FFFFFF"/>
                <w:sz w:val="15"/>
              </w:rPr>
              <w:t>mois / phase</w:t>
            </w:r>
          </w:p>
        </w:tc>
        <w:tc>
          <w:tcPr>
            <w:tcW w:type="dxa" w:w="2452"/>
            <w:shd w:fill="173B6C"/>
            <w:tcMar>
              <w:top w:w="80" w:type="dxa"/>
              <w:start w:w="80" w:type="dxa"/>
              <w:bottom w:w="80" w:type="dxa"/>
              <w:end w:w="80" w:type="dxa"/>
            </w:tcMar>
          </w:tcPr>
          <w:p>
            <w:r>
              <w:rPr>
                <w:rFonts w:ascii="Arial" w:hAnsi="Arial" w:eastAsia="Arial"/>
                <w:b/>
                <w:color w:val="FFFFFF"/>
                <w:sz w:val="15"/>
              </w:rPr>
              <w:t>Flux de travail et action</w:t>
            </w:r>
          </w:p>
        </w:tc>
        <w:tc>
          <w:tcPr>
            <w:tcW w:type="dxa" w:w="2452"/>
            <w:shd w:fill="173B6C"/>
            <w:tcMar>
              <w:top w:w="80" w:type="dxa"/>
              <w:start w:w="80" w:type="dxa"/>
              <w:bottom w:w="80" w:type="dxa"/>
              <w:end w:w="80" w:type="dxa"/>
            </w:tcMar>
          </w:tcPr>
          <w:p>
            <w:r>
              <w:rPr>
                <w:rFonts w:ascii="Arial" w:hAnsi="Arial" w:eastAsia="Arial"/>
                <w:b/>
                <w:color w:val="FFFFFF"/>
                <w:sz w:val="15"/>
              </w:rPr>
              <w:t>Propriétaire</w:t>
            </w:r>
          </w:p>
        </w:tc>
        <w:tc>
          <w:tcPr>
            <w:tcW w:type="dxa" w:w="2452"/>
            <w:shd w:fill="173B6C"/>
            <w:tcMar>
              <w:top w:w="80" w:type="dxa"/>
              <w:start w:w="80" w:type="dxa"/>
              <w:bottom w:w="80" w:type="dxa"/>
              <w:end w:w="80" w:type="dxa"/>
            </w:tcMar>
          </w:tcPr>
          <w:p>
            <w:r>
              <w:rPr>
                <w:rFonts w:ascii="Arial" w:hAnsi="Arial" w:eastAsia="Arial"/>
                <w:b/>
                <w:color w:val="FFFFFF"/>
                <w:sz w:val="15"/>
              </w:rPr>
              <w:t>Produit / approbation</w:t>
            </w:r>
          </w:p>
        </w:tc>
      </w:tr>
      <w:tr>
        <w:tc>
          <w:tcPr>
            <w:tcW w:type="dxa" w:w="2452"/>
            <w:shd w:fill="F4F6F8"/>
            <w:tcMar>
              <w:top w:w="75" w:type="dxa"/>
              <w:start w:w="80" w:type="dxa"/>
              <w:bottom w:w="75" w:type="dxa"/>
              <w:end w:w="80" w:type="dxa"/>
            </w:tcMar>
          </w:tcPr>
          <w:p>
            <w:r>
              <w:rPr>
                <w:rFonts w:ascii="Arial" w:hAnsi="Arial" w:eastAsia="Arial"/>
                <w:b/>
                <w:color w:val="1C2733"/>
                <w:sz w:val="15"/>
              </w:rPr>
              <w:t>1 - Fondation</w:t>
            </w:r>
          </w:p>
        </w:tc>
        <w:tc>
          <w:tcPr>
            <w:tcW w:type="dxa" w:w="2452"/>
            <w:shd w:fill="F4F6F8"/>
            <w:tcMar>
              <w:top w:w="75" w:type="dxa"/>
              <w:start w:w="80" w:type="dxa"/>
              <w:bottom w:w="75" w:type="dxa"/>
              <w:end w:w="80" w:type="dxa"/>
            </w:tcMar>
          </w:tcPr>
          <w:p>
            <w:r>
              <w:rPr>
                <w:rFonts w:ascii="Arial" w:hAnsi="Arial" w:eastAsia="Arial"/>
                <w:b w:val="0"/>
                <w:color w:val="1C2733"/>
                <w:sz w:val="15"/>
              </w:rPr>
              <w:t>Confirmation de base, de portée, de revendications et de gouvernance</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2 - Fondation</w:t>
            </w:r>
          </w:p>
        </w:tc>
        <w:tc>
          <w:tcPr>
            <w:tcW w:type="dxa" w:w="2452"/>
            <w:tcMar>
              <w:top w:w="75" w:type="dxa"/>
              <w:start w:w="80" w:type="dxa"/>
              <w:bottom w:w="75" w:type="dxa"/>
              <w:end w:w="80" w:type="dxa"/>
            </w:tcMar>
          </w:tcPr>
          <w:p>
            <w:r>
              <w:rPr>
                <w:rFonts w:ascii="Arial" w:hAnsi="Arial" w:eastAsia="Arial"/>
                <w:b w:val="0"/>
                <w:color w:val="1C2733"/>
                <w:sz w:val="15"/>
              </w:rPr>
              <w:t>Modèle d'affaires de la carte, chaîne de valeur et sources</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3 - Évaluer .</w:t>
            </w:r>
          </w:p>
        </w:tc>
        <w:tc>
          <w:tcPr>
            <w:tcW w:type="dxa" w:w="2452"/>
            <w:shd w:fill="F4F6F8"/>
            <w:tcMar>
              <w:top w:w="75" w:type="dxa"/>
              <w:start w:w="80" w:type="dxa"/>
              <w:bottom w:w="75" w:type="dxa"/>
              <w:end w:w="80" w:type="dxa"/>
            </w:tcMar>
          </w:tcPr>
          <w:p>
            <w:r>
              <w:rPr>
                <w:rFonts w:ascii="Arial" w:hAnsi="Arial" w:eastAsia="Arial"/>
                <w:b w:val="0"/>
                <w:color w:val="1C2733"/>
                <w:sz w:val="15"/>
              </w:rPr>
              <w:t>Identifier les risques et opportunités</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4 - Évaluer .</w:t>
            </w:r>
          </w:p>
        </w:tc>
        <w:tc>
          <w:tcPr>
            <w:tcW w:type="dxa" w:w="2452"/>
            <w:tcMar>
              <w:top w:w="75" w:type="dxa"/>
              <w:start w:w="80" w:type="dxa"/>
              <w:bottom w:w="75" w:type="dxa"/>
              <w:end w:w="80" w:type="dxa"/>
            </w:tcMar>
          </w:tcPr>
          <w:p>
            <w:r>
              <w:rPr>
                <w:rFonts w:ascii="Arial" w:hAnsi="Arial" w:eastAsia="Arial"/>
                <w:b w:val="0"/>
                <w:color w:val="1C2733"/>
                <w:sz w:val="15"/>
              </w:rPr>
              <w:t>La pleine complexité des défis et la portée de la chaîne de valeur</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5 - Évaluer .</w:t>
            </w:r>
          </w:p>
        </w:tc>
        <w:tc>
          <w:tcPr>
            <w:tcW w:type="dxa" w:w="2452"/>
            <w:shd w:fill="F4F6F8"/>
            <w:tcMar>
              <w:top w:w="75" w:type="dxa"/>
              <w:start w:w="80" w:type="dxa"/>
              <w:bottom w:w="75" w:type="dxa"/>
              <w:end w:w="80" w:type="dxa"/>
            </w:tcMar>
          </w:tcPr>
          <w:p>
            <w:r>
              <w:rPr>
                <w:rFonts w:ascii="Arial" w:hAnsi="Arial" w:eastAsia="Arial"/>
                <w:b w:val="0"/>
                <w:color w:val="1C2733"/>
                <w:sz w:val="15"/>
              </w:rPr>
              <w:t>Approuver les décisions relatives à l'information importante</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6 - Construire .</w:t>
            </w:r>
          </w:p>
        </w:tc>
        <w:tc>
          <w:tcPr>
            <w:tcW w:type="dxa" w:w="2452"/>
            <w:tcMar>
              <w:top w:w="75" w:type="dxa"/>
              <w:start w:w="80" w:type="dxa"/>
              <w:bottom w:w="75" w:type="dxa"/>
              <w:end w:w="80" w:type="dxa"/>
            </w:tcMar>
          </w:tcPr>
          <w:p>
            <w:r>
              <w:rPr>
                <w:rFonts w:ascii="Arial" w:hAnsi="Arial" w:eastAsia="Arial"/>
                <w:b w:val="0"/>
                <w:color w:val="1C2733"/>
                <w:sz w:val="15"/>
              </w:rPr>
              <w:t>Développer un système à quatre piliers et UK SRS S2 plans de travail</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7 - Construire .</w:t>
            </w:r>
          </w:p>
        </w:tc>
        <w:tc>
          <w:tcPr>
            <w:tcW w:type="dxa" w:w="2452"/>
            <w:shd w:fill="F4F6F8"/>
            <w:tcMar>
              <w:top w:w="75" w:type="dxa"/>
              <w:start w:w="80" w:type="dxa"/>
              <w:bottom w:w="75" w:type="dxa"/>
              <w:end w:w="80" w:type="dxa"/>
            </w:tcMar>
          </w:tcPr>
          <w:p>
            <w:r>
              <w:rPr>
                <w:rFonts w:ascii="Arial" w:hAnsi="Arial" w:eastAsia="Arial"/>
                <w:b w:val="0"/>
                <w:color w:val="1C2733"/>
                <w:sz w:val="15"/>
              </w:rPr>
              <w:t>Définir les mesures, les objectifs et les demandes de données</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8 - Construire .</w:t>
            </w:r>
          </w:p>
        </w:tc>
        <w:tc>
          <w:tcPr>
            <w:tcW w:type="dxa" w:w="2452"/>
            <w:tcMar>
              <w:top w:w="75" w:type="dxa"/>
              <w:start w:w="80" w:type="dxa"/>
              <w:bottom w:w="75" w:type="dxa"/>
              <w:end w:w="80" w:type="dxa"/>
            </w:tcMar>
          </w:tcPr>
          <w:p>
            <w:r>
              <w:rPr>
                <w:rFonts w:ascii="Arial" w:hAnsi="Arial" w:eastAsia="Arial"/>
                <w:b w:val="0"/>
                <w:color w:val="1C2733"/>
                <w:sz w:val="15"/>
              </w:rPr>
              <w:t>Implementer la lignée, les données probantes et les contrôles</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9 - Construire .</w:t>
            </w:r>
          </w:p>
        </w:tc>
        <w:tc>
          <w:tcPr>
            <w:tcW w:type="dxa" w:w="2452"/>
            <w:shd w:fill="F4F6F8"/>
            <w:tcMar>
              <w:top w:w="75" w:type="dxa"/>
              <w:start w:w="80" w:type="dxa"/>
              <w:bottom w:w="75" w:type="dxa"/>
              <w:end w:w="80" w:type="dxa"/>
            </w:tcMar>
          </w:tcPr>
          <w:p>
            <w:r>
              <w:rPr>
                <w:rFonts w:ascii="Arial" w:hAnsi="Arial" w:eastAsia="Arial"/>
                <w:b w:val="0"/>
                <w:color w:val="1C2733"/>
                <w:sz w:val="15"/>
              </w:rPr>
              <w:t>Analyse complète des effets financiers</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10 - Rapport</w:t>
            </w:r>
          </w:p>
        </w:tc>
        <w:tc>
          <w:tcPr>
            <w:tcW w:type="dxa" w:w="2452"/>
            <w:tcMar>
              <w:top w:w="75" w:type="dxa"/>
              <w:start w:w="80" w:type="dxa"/>
              <w:bottom w:w="75" w:type="dxa"/>
              <w:end w:w="80" w:type="dxa"/>
            </w:tcMar>
          </w:tcPr>
          <w:p>
            <w:r>
              <w:rPr>
                <w:rFonts w:ascii="Arial" w:hAnsi="Arial" w:eastAsia="Arial"/>
                <w:b w:val="0"/>
                <w:color w:val="1C2733"/>
                <w:sz w:val="15"/>
              </w:rPr>
              <w:t>Rédaction du rapport connexe et fondement de la préparation</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11 - Rapport</w:t>
            </w:r>
          </w:p>
        </w:tc>
        <w:tc>
          <w:tcPr>
            <w:tcW w:type="dxa" w:w="2452"/>
            <w:shd w:fill="F4F6F8"/>
            <w:tcMar>
              <w:top w:w="75" w:type="dxa"/>
              <w:start w:w="80" w:type="dxa"/>
              <w:bottom w:w="75" w:type="dxa"/>
              <w:end w:w="80" w:type="dxa"/>
            </w:tcMar>
          </w:tcPr>
          <w:p>
            <w:r>
              <w:rPr>
                <w:rFonts w:ascii="Arial" w:hAnsi="Arial" w:eastAsia="Arial"/>
                <w:b w:val="0"/>
                <w:color w:val="1C2733"/>
                <w:sz w:val="15"/>
              </w:rPr>
              <w:t>Exécuter des examens techniques, financiers, juridiques et de contrôle</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12 - Rapport</w:t>
            </w:r>
          </w:p>
        </w:tc>
        <w:tc>
          <w:tcPr>
            <w:tcW w:type="dxa" w:w="2452"/>
            <w:tcMar>
              <w:top w:w="75" w:type="dxa"/>
              <w:start w:w="80" w:type="dxa"/>
              <w:bottom w:w="75" w:type="dxa"/>
              <w:end w:w="80" w:type="dxa"/>
            </w:tcMar>
          </w:tcPr>
          <w:p>
            <w:r>
              <w:rPr>
                <w:rFonts w:ascii="Arial" w:hAnsi="Arial" w:eastAsia="Arial"/>
                <w:b w:val="0"/>
                <w:color w:val="1C2733"/>
                <w:sz w:val="15"/>
              </w:rPr>
              <w:t>Obtenir des représentations, approuver le conseil et publier</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bl>
    <w:p/>
    <w:p>
      <w:pPr>
        <w:pStyle w:val="Heading2"/>
        <w:keepNext/>
      </w:pPr>
      <w:r>
        <w:t>Outil de communication 3 - paragraphe E3 enregistrement annuel des décisions</w:t>
      </w:r>
    </w:p>
    <w:tbl>
      <w:tblPr>
        <w:tblStyle w:val="TableGrid"/>
        <w:tblW w:type="auto" w:w="0"/>
        <w:jc w:val="center"/>
        <w:tblLook w:firstColumn="1" w:firstRow="1" w:lastColumn="0" w:lastRow="0" w:noHBand="0" w:noVBand="1" w:val="04A0"/>
      </w:tblPr>
      <w:tblGrid>
        <w:gridCol w:w="3269"/>
        <w:gridCol w:w="3269"/>
        <w:gridCol w:w="3269"/>
      </w:tblGrid>
      <w:tr>
        <w:trPr>
          <w:tblHeader w:val="true"/>
        </w:trPr>
        <w:tc>
          <w:tcPr>
            <w:tcW w:type="dxa" w:w="3269"/>
            <w:shd w:fill="173B6C"/>
            <w:tcMar>
              <w:top w:w="80" w:type="dxa"/>
              <w:start w:w="80" w:type="dxa"/>
              <w:bottom w:w="80" w:type="dxa"/>
              <w:end w:w="80" w:type="dxa"/>
            </w:tcMar>
          </w:tcPr>
          <w:p>
            <w:r>
              <w:rPr>
                <w:rFonts w:ascii="Arial" w:hAnsi="Arial" w:eastAsia="Arial"/>
                <w:b/>
                <w:color w:val="FFFFFF"/>
                <w:sz w:val="16"/>
              </w:rPr>
              <w:t>Facteur de décision</w:t>
            </w:r>
          </w:p>
        </w:tc>
        <w:tc>
          <w:tcPr>
            <w:tcW w:type="dxa" w:w="3269"/>
            <w:shd w:fill="173B6C"/>
            <w:tcMar>
              <w:top w:w="80" w:type="dxa"/>
              <w:start w:w="80" w:type="dxa"/>
              <w:bottom w:w="80" w:type="dxa"/>
              <w:end w:w="80" w:type="dxa"/>
            </w:tcMar>
          </w:tcPr>
          <w:p>
            <w:r>
              <w:rPr>
                <w:rFonts w:ascii="Arial" w:hAnsi="Arial" w:eastAsia="Arial"/>
                <w:b/>
                <w:color w:val="FFFFFF"/>
                <w:sz w:val="16"/>
              </w:rPr>
              <w:t>Évaluation</w:t>
            </w:r>
          </w:p>
        </w:tc>
        <w:tc>
          <w:tcPr>
            <w:tcW w:type="dxa" w:w="3269"/>
            <w:shd w:fill="173B6C"/>
            <w:tcMar>
              <w:top w:w="80" w:type="dxa"/>
              <w:start w:w="80" w:type="dxa"/>
              <w:bottom w:w="80" w:type="dxa"/>
              <w:end w:w="80" w:type="dxa"/>
            </w:tcMar>
          </w:tcPr>
          <w:p>
            <w:r>
              <w:rPr>
                <w:rFonts w:ascii="Arial" w:hAnsi="Arial" w:eastAsia="Arial"/>
                <w:b/>
                <w:color w:val="FFFFFF"/>
                <w:sz w:val="16"/>
              </w:rPr>
              <w:t>Les preuves / actions</w:t>
            </w:r>
          </w:p>
        </w:tc>
      </w:tr>
      <w:tr>
        <w:tc>
          <w:tcPr>
            <w:tcW w:type="dxa" w:w="3269"/>
            <w:shd w:fill="F4F6F8"/>
            <w:tcMar>
              <w:top w:w="75" w:type="dxa"/>
              <w:start w:w="80" w:type="dxa"/>
              <w:bottom w:w="75" w:type="dxa"/>
              <w:end w:w="80" w:type="dxa"/>
            </w:tcMar>
          </w:tcPr>
          <w:p>
            <w:r>
              <w:rPr>
                <w:rFonts w:ascii="Arial" w:hAnsi="Arial" w:eastAsia="Arial"/>
                <w:b/>
                <w:color w:val="1C2733"/>
                <w:sz w:val="16"/>
              </w:rPr>
              <w:t>La demande est-elle volontaire ou obligatoire?</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Est-ce que le E3 est disponible en vertu de la loi ou des règles en vigueur?</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Le champ d'application exclusif du climat omettrait-il des informations déjà importantes pour les investisseurs?</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L'entité peut-elle répondre à toutes les exigences applicables ? UK SRS S2 les exigences ?</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Le conseil est-il à l'aise que non UK SRS S1 une demande de conformité sera faite ?</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Quel traitement comparatif s' applique dans le cas de l'E4?</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Quels processus non climatiques peuvent être développés cette année ?</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Quand l'utilisation de E3 sera-t-elle reconsidérée ?</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Conclusion et date approuvées</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bl>
    <w:p/>
    <w:p>
      <w:pPr>
        <w:pStyle w:val="Heading2"/>
        <w:keepNext/>
      </w:pPr>
      <w:r>
        <w:t>Outil de communication 4 - l'inventaire de la conformité et des revendications publiques</w:t>
      </w:r>
    </w:p>
    <w:tbl>
      <w:tblPr>
        <w:tblStyle w:val="TableGrid"/>
        <w:tblW w:type="auto" w:w="0"/>
        <w:jc w:val="center"/>
        <w:tblLook w:firstColumn="1" w:firstRow="1" w:lastColumn="0" w:lastRow="0" w:noHBand="0" w:noVBand="1" w:val="04A0"/>
      </w:tblPr>
      <w:tblGrid>
        <w:gridCol w:w="2452"/>
        <w:gridCol w:w="2452"/>
        <w:gridCol w:w="2452"/>
        <w:gridCol w:w="2452"/>
      </w:tblGrid>
      <w:tr>
        <w:trPr>
          <w:tblHeader w:val="true"/>
        </w:trPr>
        <w:tc>
          <w:tcPr>
            <w:tcW w:type="dxa" w:w="2452"/>
            <w:shd w:fill="173B6C"/>
            <w:tcMar>
              <w:top w:w="80" w:type="dxa"/>
              <w:start w:w="80" w:type="dxa"/>
              <w:bottom w:w="80" w:type="dxa"/>
              <w:end w:w="80" w:type="dxa"/>
            </w:tcMar>
          </w:tcPr>
          <w:p>
            <w:r>
              <w:rPr>
                <w:rFonts w:ascii="Arial" w:hAnsi="Arial" w:eastAsia="Arial"/>
                <w:b/>
                <w:color w:val="FFFFFF"/>
                <w:sz w:val="15"/>
              </w:rPr>
              <w:t>Publication / chaîne</w:t>
            </w:r>
          </w:p>
        </w:tc>
        <w:tc>
          <w:tcPr>
            <w:tcW w:type="dxa" w:w="2452"/>
            <w:shd w:fill="173B6C"/>
            <w:tcMar>
              <w:top w:w="80" w:type="dxa"/>
              <w:start w:w="80" w:type="dxa"/>
              <w:bottom w:w="80" w:type="dxa"/>
              <w:end w:w="80" w:type="dxa"/>
            </w:tcMar>
          </w:tcPr>
          <w:p>
            <w:r>
              <w:rPr>
                <w:rFonts w:ascii="Arial" w:hAnsi="Arial" w:eastAsia="Arial"/>
                <w:b/>
                <w:color w:val="FFFFFF"/>
                <w:sz w:val="15"/>
              </w:rPr>
              <w:t>Le texte du projet</w:t>
            </w:r>
          </w:p>
        </w:tc>
        <w:tc>
          <w:tcPr>
            <w:tcW w:type="dxa" w:w="2452"/>
            <w:shd w:fill="173B6C"/>
            <w:tcMar>
              <w:top w:w="80" w:type="dxa"/>
              <w:start w:w="80" w:type="dxa"/>
              <w:bottom w:w="80" w:type="dxa"/>
              <w:end w:w="80" w:type="dxa"/>
            </w:tcMar>
          </w:tcPr>
          <w:p>
            <w:r>
              <w:rPr>
                <w:rFonts w:ascii="Arial" w:hAnsi="Arial" w:eastAsia="Arial"/>
                <w:b/>
                <w:color w:val="FFFFFF"/>
                <w:sz w:val="15"/>
              </w:rPr>
              <w:t>Base technique</w:t>
            </w:r>
          </w:p>
        </w:tc>
        <w:tc>
          <w:tcPr>
            <w:tcW w:type="dxa" w:w="2452"/>
            <w:shd w:fill="173B6C"/>
            <w:tcMar>
              <w:top w:w="80" w:type="dxa"/>
              <w:start w:w="80" w:type="dxa"/>
              <w:bottom w:w="80" w:type="dxa"/>
              <w:end w:w="80" w:type="dxa"/>
            </w:tcMar>
          </w:tcPr>
          <w:p>
            <w:r>
              <w:rPr>
                <w:rFonts w:ascii="Arial" w:hAnsi="Arial" w:eastAsia="Arial"/>
                <w:b/>
                <w:color w:val="FFFFFF"/>
                <w:sz w:val="15"/>
              </w:rPr>
              <w:t>Réviseur / statut</w:t>
            </w:r>
          </w:p>
        </w:tc>
      </w:tr>
      <w:tr>
        <w:tc>
          <w:tcPr>
            <w:tcW w:type="dxa" w:w="2452"/>
            <w:shd w:fill="F4F6F8"/>
            <w:tcMar>
              <w:top w:w="75" w:type="dxa"/>
              <w:start w:w="80" w:type="dxa"/>
              <w:bottom w:w="75" w:type="dxa"/>
              <w:end w:w="80" w:type="dxa"/>
            </w:tcMar>
          </w:tcPr>
          <w:p>
            <w:r>
              <w:rPr>
                <w:rFonts w:ascii="Arial" w:hAnsi="Arial" w:eastAsia="Arial"/>
                <w:b/>
                <w:color w:val="1C2733"/>
                <w:sz w:val="15"/>
              </w:rPr>
              <w:t>Fondement de la préparation</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Indice de normes</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Documents d'approbation des administrateurs</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Rapport d'assurance</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Résultats du rapport annuel</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Metadata du site et du référencement</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Présentation des investisseurs</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Communiqué de presse</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Réponses à l'appel d'offres / questionnaire</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L'assistant d'IA ou chatbot répond</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bl>
    <w:p/>
    <w:p>
      <w:pPr>
        <w:pStyle w:val="Heading2"/>
        <w:keepNext/>
      </w:pPr>
      <w:r>
        <w:t>Outil de communication 5 - registre des risques et opportunités</w:t>
      </w:r>
    </w:p>
    <w:tbl>
      <w:tblPr>
        <w:tblStyle w:val="TableGrid"/>
        <w:tblW w:type="auto" w:w="0"/>
        <w:jc w:val="center"/>
        <w:tblLook w:firstColumn="1" w:firstRow="1" w:lastColumn="0" w:lastRow="0" w:noHBand="0" w:noVBand="1" w:val="04A0"/>
      </w:tblPr>
      <w:tblGrid>
        <w:gridCol w:w="4904"/>
        <w:gridCol w:w="4904"/>
      </w:tblGrid>
      <w:tr>
        <w:trPr>
          <w:tblHeader w:val="true"/>
        </w:trPr>
        <w:tc>
          <w:tcPr>
            <w:tcW w:type="dxa" w:w="4904"/>
            <w:shd w:fill="173B6C"/>
            <w:tcMar>
              <w:top w:w="80" w:type="dxa"/>
              <w:start w:w="80" w:type="dxa"/>
              <w:bottom w:w="80" w:type="dxa"/>
              <w:end w:w="80" w:type="dxa"/>
            </w:tcMar>
          </w:tcPr>
          <w:p>
            <w:r>
              <w:rPr>
                <w:rFonts w:ascii="Arial" w:hAnsi="Arial" w:eastAsia="Arial"/>
                <w:b/>
                <w:color w:val="FFFFFF"/>
                <w:sz w:val="16"/>
              </w:rPr>
              <w:t>champs</w:t>
            </w:r>
          </w:p>
        </w:tc>
        <w:tc>
          <w:tcPr>
            <w:tcW w:type="dxa" w:w="4904"/>
            <w:shd w:fill="173B6C"/>
            <w:tcMar>
              <w:top w:w="80" w:type="dxa"/>
              <w:start w:w="80" w:type="dxa"/>
              <w:bottom w:w="80" w:type="dxa"/>
              <w:end w:w="80" w:type="dxa"/>
            </w:tcMar>
          </w:tcPr>
          <w:p>
            <w:r>
              <w:rPr>
                <w:rFonts w:ascii="Arial" w:hAnsi="Arial" w:eastAsia="Arial"/>
                <w:b/>
                <w:color w:val="FFFFFF"/>
                <w:sz w:val="16"/>
              </w:rPr>
              <w:t>Entrée</w:t>
            </w:r>
          </w:p>
        </w:tc>
      </w:tr>
      <w:tr>
        <w:tc>
          <w:tcPr>
            <w:tcW w:type="dxa" w:w="4904"/>
            <w:shd w:fill="F4F6F8"/>
            <w:tcMar>
              <w:top w:w="75" w:type="dxa"/>
              <w:start w:w="80" w:type="dxa"/>
              <w:bottom w:w="75" w:type="dxa"/>
              <w:end w:w="80" w:type="dxa"/>
            </w:tcMar>
          </w:tcPr>
          <w:p>
            <w:r>
              <w:rPr>
                <w:rFonts w:ascii="Arial" w:hAnsi="Arial" w:eastAsia="Arial"/>
                <w:b/>
                <w:color w:val="1C2733"/>
                <w:sz w:val="16"/>
              </w:rPr>
              <w:t>Identification du dossier et titre spécifique</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r>
              <w:rPr>
                <w:rFonts w:ascii="Arial" w:hAnsi="Arial" w:eastAsia="Arial"/>
                <w:b/>
                <w:color w:val="1C2733"/>
                <w:sz w:val="16"/>
              </w:rPr>
              <w:t>Risque / opportunité / les deux</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r>
              <w:rPr>
                <w:rFonts w:ascii="Arial" w:hAnsi="Arial" w:eastAsia="Arial"/>
                <w:b/>
                <w:color w:val="1C2733"/>
                <w:sz w:val="16"/>
              </w:rPr>
              <w:t>Localisation du modèle d'entreprise ou de la chaîne de valeur</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r>
              <w:rPr>
                <w:rFonts w:ascii="Arial" w:hAnsi="Arial" w:eastAsia="Arial"/>
                <w:b/>
                <w:color w:val="1C2733"/>
                <w:sz w:val="16"/>
              </w:rPr>
              <w:t>Dépendance, impact ou conducteur externe</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r>
              <w:rPr>
                <w:rFonts w:ascii="Arial" w:hAnsi="Arial" w:eastAsia="Arial"/>
                <w:b/>
                <w:color w:val="1C2733"/>
                <w:sz w:val="16"/>
              </w:rPr>
              <w:t>Voie de transmission financière</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r>
              <w:rPr>
                <w:rFonts w:ascii="Arial" w:hAnsi="Arial" w:eastAsia="Arial"/>
                <w:b/>
                <w:color w:val="1C2733"/>
                <w:sz w:val="16"/>
              </w:rPr>
              <w:t>Horizons à court / moyen / long terme</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r>
              <w:rPr>
                <w:rFonts w:ascii="Arial" w:hAnsi="Arial" w:eastAsia="Arial"/>
                <w:b/>
                <w:color w:val="1C2733"/>
                <w:sz w:val="16"/>
              </w:rPr>
              <w:t>Les raisons de l'attente raisonnable</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r>
              <w:rPr>
                <w:rFonts w:ascii="Arial" w:hAnsi="Arial" w:eastAsia="Arial"/>
                <w:b/>
                <w:color w:val="1C2733"/>
                <w:sz w:val="16"/>
              </w:rPr>
              <w:t>Sources internes et externes</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r>
              <w:rPr>
                <w:rFonts w:ascii="Arial" w:hAnsi="Arial" w:eastAsia="Arial"/>
                <w:b/>
                <w:color w:val="1C2733"/>
                <w:sz w:val="16"/>
              </w:rPr>
              <w:t>Largeur de la chaîne de valeur, proxies et écarts</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r>
              <w:rPr>
                <w:rFonts w:ascii="Arial" w:hAnsi="Arial" w:eastAsia="Arial"/>
                <w:b/>
                <w:color w:val="1C2733"/>
                <w:sz w:val="16"/>
              </w:rPr>
              <w:t>Contrôles existants et réponse stratégique</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r>
              <w:rPr>
                <w:rFonts w:ascii="Arial" w:hAnsi="Arial" w:eastAsia="Arial"/>
                <w:b/>
                <w:color w:val="1C2733"/>
                <w:sz w:val="16"/>
              </w:rPr>
              <w:t>Statut de la pertinence et divulgation liée</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r>
              <w:rPr>
                <w:rFonts w:ascii="Arial" w:hAnsi="Arial" w:eastAsia="Arial"/>
                <w:b/>
                <w:color w:val="1C2733"/>
                <w:sz w:val="16"/>
              </w:rPr>
              <w:t>Propriétaire, examinateur et déclencheur de réévaluation</w:t>
            </w:r>
          </w:p>
        </w:tc>
        <w:tc>
          <w:tcPr>
            <w:tcW w:type="dxa" w:w="4904"/>
            <w:tcMar>
              <w:top w:w="75" w:type="dxa"/>
              <w:start w:w="80" w:type="dxa"/>
              <w:bottom w:w="75" w:type="dxa"/>
              <w:end w:w="80" w:type="dxa"/>
            </w:tcMar>
          </w:tcPr>
          <w:p>
            <w:r>
              <w:rPr>
                <w:rFonts w:ascii="Arial" w:hAnsi="Arial" w:eastAsia="Arial"/>
                <w:b w:val="0"/>
                <w:color w:val="1C2733"/>
                <w:sz w:val="16"/>
              </w:rPr>
            </w:r>
          </w:p>
        </w:tc>
      </w:tr>
    </w:tbl>
    <w:p/>
    <w:p>
      <w:pPr>
        <w:pStyle w:val="Heading2"/>
        <w:keepNext/>
      </w:pPr>
      <w:r>
        <w:t>Outil de communication 6 - matrice de décision sur la pertinence des investisseurs</w:t>
      </w:r>
    </w:p>
    <w:tbl>
      <w:tblPr>
        <w:tblStyle w:val="TableGrid"/>
        <w:tblW w:type="auto" w:w="0"/>
        <w:jc w:val="center"/>
        <w:tblLook w:firstColumn="1" w:firstRow="1" w:lastColumn="0" w:lastRow="0" w:noHBand="0" w:noVBand="1" w:val="04A0"/>
      </w:tblPr>
      <w:tblGrid>
        <w:gridCol w:w="3269"/>
        <w:gridCol w:w="3269"/>
        <w:gridCol w:w="3269"/>
      </w:tblGrid>
      <w:tr>
        <w:trPr>
          <w:tblHeader w:val="true"/>
        </w:trPr>
        <w:tc>
          <w:tcPr>
            <w:tcW w:type="dxa" w:w="3269"/>
            <w:shd w:fill="173B6C"/>
            <w:tcMar>
              <w:top w:w="80" w:type="dxa"/>
              <w:start w:w="80" w:type="dxa"/>
              <w:bottom w:w="80" w:type="dxa"/>
              <w:end w:w="80" w:type="dxa"/>
            </w:tcMar>
          </w:tcPr>
          <w:p>
            <w:r>
              <w:rPr>
                <w:rFonts w:ascii="Arial" w:hAnsi="Arial" w:eastAsia="Arial"/>
                <w:b/>
                <w:color w:val="FFFFFF"/>
                <w:sz w:val="16"/>
              </w:rPr>
              <w:t>Dimension</w:t>
            </w:r>
          </w:p>
        </w:tc>
        <w:tc>
          <w:tcPr>
            <w:tcW w:type="dxa" w:w="3269"/>
            <w:shd w:fill="173B6C"/>
            <w:tcMar>
              <w:top w:w="80" w:type="dxa"/>
              <w:start w:w="80" w:type="dxa"/>
              <w:bottom w:w="80" w:type="dxa"/>
              <w:end w:w="80" w:type="dxa"/>
            </w:tcMar>
          </w:tcPr>
          <w:p>
            <w:r>
              <w:rPr>
                <w:rFonts w:ascii="Arial" w:hAnsi="Arial" w:eastAsia="Arial"/>
                <w:b/>
                <w:color w:val="FFFFFF"/>
                <w:sz w:val="16"/>
              </w:rPr>
              <w:t>Évaluation et preuves</w:t>
            </w:r>
          </w:p>
        </w:tc>
        <w:tc>
          <w:tcPr>
            <w:tcW w:type="dxa" w:w="3269"/>
            <w:shd w:fill="173B6C"/>
            <w:tcMar>
              <w:top w:w="80" w:type="dxa"/>
              <w:start w:w="80" w:type="dxa"/>
              <w:bottom w:w="80" w:type="dxa"/>
              <w:end w:w="80" w:type="dxa"/>
            </w:tcMar>
          </w:tcPr>
          <w:p>
            <w:r>
              <w:rPr>
                <w:rFonts w:ascii="Arial" w:hAnsi="Arial" w:eastAsia="Arial"/>
                <w:b/>
                <w:color w:val="FFFFFF"/>
                <w:sz w:val="16"/>
              </w:rPr>
              <w:t>Conclusion / justification</w:t>
            </w:r>
          </w:p>
        </w:tc>
      </w:tr>
      <w:tr>
        <w:tc>
          <w:tcPr>
            <w:tcW w:type="dxa" w:w="3269"/>
            <w:shd w:fill="F4F6F8"/>
            <w:tcMar>
              <w:top w:w="75" w:type="dxa"/>
              <w:start w:w="80" w:type="dxa"/>
              <w:bottom w:w="75" w:type="dxa"/>
              <w:end w:w="80" w:type="dxa"/>
            </w:tcMar>
          </w:tcPr>
          <w:p>
            <w:r>
              <w:rPr>
                <w:rFonts w:ascii="Arial" w:hAnsi="Arial" w:eastAsia="Arial"/>
                <w:b/>
                <w:color w:val="1C2733"/>
                <w:sz w:val="16"/>
              </w:rPr>
              <w:t>Décision de l'utilisateur principal</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Voie de perspectives</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Nature / importance qualitative</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Magnitude / concentration</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Probabilité et éventail de résultats</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Temps et réversibilité</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Combinaison avec d'autres informations</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Aggrégation / désagrégation</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Obscure et placement de rapports</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Décision: divulguer / combiner / non matériel / moniteur</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Approbation et date</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bl>
    <w:p/>
    <w:p>
      <w:pPr>
        <w:pStyle w:val="Heading2"/>
        <w:keepNext/>
      </w:pPr>
      <w:r>
        <w:t>Outil de communication 7 - registre des mesures, données et preuves</w:t>
      </w:r>
    </w:p>
    <w:tbl>
      <w:tblPr>
        <w:tblStyle w:val="TableGrid"/>
        <w:tblW w:type="auto" w:w="0"/>
        <w:jc w:val="center"/>
        <w:tblLook w:firstColumn="1" w:firstRow="1" w:lastColumn="0" w:lastRow="0" w:noHBand="0" w:noVBand="1" w:val="04A0"/>
      </w:tblPr>
      <w:tblGrid>
        <w:gridCol w:w="2452"/>
        <w:gridCol w:w="2452"/>
        <w:gridCol w:w="2452"/>
        <w:gridCol w:w="2452"/>
      </w:tblGrid>
      <w:tr>
        <w:trPr>
          <w:tblHeader w:val="true"/>
        </w:trPr>
        <w:tc>
          <w:tcPr>
            <w:tcW w:type="dxa" w:w="2452"/>
            <w:shd w:fill="173B6C"/>
            <w:tcMar>
              <w:top w:w="80" w:type="dxa"/>
              <w:start w:w="80" w:type="dxa"/>
              <w:bottom w:w="80" w:type="dxa"/>
              <w:end w:w="80" w:type="dxa"/>
            </w:tcMar>
          </w:tcPr>
          <w:p>
            <w:r>
              <w:rPr>
                <w:rFonts w:ascii="Arial" w:hAnsi="Arial" w:eastAsia="Arial"/>
                <w:b/>
                <w:color w:val="FFFFFF"/>
                <w:sz w:val="15"/>
              </w:rPr>
              <w:t>Métrique / révélation</w:t>
            </w:r>
          </w:p>
        </w:tc>
        <w:tc>
          <w:tcPr>
            <w:tcW w:type="dxa" w:w="2452"/>
            <w:shd w:fill="173B6C"/>
            <w:tcMar>
              <w:top w:w="80" w:type="dxa"/>
              <w:start w:w="80" w:type="dxa"/>
              <w:bottom w:w="80" w:type="dxa"/>
              <w:end w:w="80" w:type="dxa"/>
            </w:tcMar>
          </w:tcPr>
          <w:p>
            <w:r>
              <w:rPr>
                <w:rFonts w:ascii="Arial" w:hAnsi="Arial" w:eastAsia="Arial"/>
                <w:b/>
                <w:color w:val="FFFFFF"/>
                <w:sz w:val="15"/>
              </w:rPr>
              <w:t>Définition et limites</w:t>
            </w:r>
          </w:p>
        </w:tc>
        <w:tc>
          <w:tcPr>
            <w:tcW w:type="dxa" w:w="2452"/>
            <w:shd w:fill="173B6C"/>
            <w:tcMar>
              <w:top w:w="80" w:type="dxa"/>
              <w:start w:w="80" w:type="dxa"/>
              <w:bottom w:w="80" w:type="dxa"/>
              <w:end w:w="80" w:type="dxa"/>
            </w:tcMar>
          </w:tcPr>
          <w:p>
            <w:r>
              <w:rPr>
                <w:rFonts w:ascii="Arial" w:hAnsi="Arial" w:eastAsia="Arial"/>
                <w:b/>
                <w:color w:val="FFFFFF"/>
                <w:sz w:val="15"/>
              </w:rPr>
              <w:t>Source / méthode</w:t>
            </w:r>
          </w:p>
        </w:tc>
        <w:tc>
          <w:tcPr>
            <w:tcW w:type="dxa" w:w="2452"/>
            <w:shd w:fill="173B6C"/>
            <w:tcMar>
              <w:top w:w="80" w:type="dxa"/>
              <w:start w:w="80" w:type="dxa"/>
              <w:bottom w:w="80" w:type="dxa"/>
              <w:end w:w="80" w:type="dxa"/>
            </w:tcMar>
          </w:tcPr>
          <w:p>
            <w:r>
              <w:rPr>
                <w:rFonts w:ascii="Arial" w:hAnsi="Arial" w:eastAsia="Arial"/>
                <w:b/>
                <w:color w:val="FFFFFF"/>
                <w:sz w:val="15"/>
              </w:rPr>
              <w:t>Propriétaire / contrôle</w:t>
            </w:r>
          </w:p>
        </w:tc>
      </w:tr>
      <w:tr>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bl>
    <w:p/>
    <w:p>
      <w:pPr>
        <w:pStyle w:val="Heading2"/>
        <w:keepNext/>
      </w:pPr>
      <w:r>
        <w:t>Outil de communication 8 - des effets financiers actuels et anticipés, pont</w:t>
      </w:r>
    </w:p>
    <w:tbl>
      <w:tblPr>
        <w:tblStyle w:val="TableGrid"/>
        <w:tblW w:type="auto" w:w="0"/>
        <w:jc w:val="center"/>
        <w:tblLook w:firstColumn="1" w:firstRow="1" w:lastColumn="0" w:lastRow="0" w:noHBand="0" w:noVBand="1" w:val="04A0"/>
      </w:tblPr>
      <w:tblGrid>
        <w:gridCol w:w="1962"/>
        <w:gridCol w:w="1962"/>
        <w:gridCol w:w="1962"/>
        <w:gridCol w:w="1962"/>
        <w:gridCol w:w="1962"/>
      </w:tblGrid>
      <w:tr>
        <w:trPr>
          <w:tblHeader w:val="true"/>
        </w:trPr>
        <w:tc>
          <w:tcPr>
            <w:tcW w:type="dxa" w:w="1962"/>
            <w:shd w:fill="173B6C"/>
            <w:tcMar>
              <w:top w:w="80" w:type="dxa"/>
              <w:start w:w="80" w:type="dxa"/>
              <w:bottom w:w="80" w:type="dxa"/>
              <w:end w:w="80" w:type="dxa"/>
            </w:tcMar>
          </w:tcPr>
          <w:p>
            <w:r>
              <w:rPr>
                <w:rFonts w:ascii="Arial" w:hAnsi="Arial" w:eastAsia="Arial"/>
                <w:b/>
                <w:color w:val="FFFFFF"/>
                <w:sz w:val="14"/>
              </w:rPr>
              <w:t>Risque / opportunité</w:t>
            </w:r>
          </w:p>
        </w:tc>
        <w:tc>
          <w:tcPr>
            <w:tcW w:type="dxa" w:w="1962"/>
            <w:shd w:fill="173B6C"/>
            <w:tcMar>
              <w:top w:w="80" w:type="dxa"/>
              <w:start w:w="80" w:type="dxa"/>
              <w:bottom w:w="80" w:type="dxa"/>
              <w:end w:w="80" w:type="dxa"/>
            </w:tcMar>
          </w:tcPr>
          <w:p>
            <w:r>
              <w:rPr>
                <w:rFonts w:ascii="Arial" w:hAnsi="Arial" w:eastAsia="Arial"/>
                <w:b/>
                <w:color w:val="FFFFFF"/>
                <w:sz w:val="14"/>
              </w:rPr>
              <w:t>Ligne ou voie financière</w:t>
            </w:r>
          </w:p>
        </w:tc>
        <w:tc>
          <w:tcPr>
            <w:tcW w:type="dxa" w:w="1962"/>
            <w:shd w:fill="173B6C"/>
            <w:tcMar>
              <w:top w:w="80" w:type="dxa"/>
              <w:start w:w="80" w:type="dxa"/>
              <w:bottom w:w="80" w:type="dxa"/>
              <w:end w:w="80" w:type="dxa"/>
            </w:tcMar>
          </w:tcPr>
          <w:p>
            <w:r>
              <w:rPr>
                <w:rFonts w:ascii="Arial" w:hAnsi="Arial" w:eastAsia="Arial"/>
                <w:b/>
                <w:color w:val="FFFFFF"/>
                <w:sz w:val="14"/>
              </w:rPr>
              <w:t>Effect courant</w:t>
            </w:r>
          </w:p>
        </w:tc>
        <w:tc>
          <w:tcPr>
            <w:tcW w:type="dxa" w:w="1962"/>
            <w:shd w:fill="173B6C"/>
            <w:tcMar>
              <w:top w:w="80" w:type="dxa"/>
              <w:start w:w="80" w:type="dxa"/>
              <w:bottom w:w="80" w:type="dxa"/>
              <w:end w:w="80" w:type="dxa"/>
            </w:tcMar>
          </w:tcPr>
          <w:p>
            <w:r>
              <w:rPr>
                <w:rFonts w:ascii="Arial" w:hAnsi="Arial" w:eastAsia="Arial"/>
                <w:b/>
                <w:color w:val="FFFFFF"/>
                <w:sz w:val="14"/>
              </w:rPr>
              <w:t>Effets prévus / horizon</w:t>
            </w:r>
          </w:p>
        </w:tc>
        <w:tc>
          <w:tcPr>
            <w:tcW w:type="dxa" w:w="1962"/>
            <w:shd w:fill="173B6C"/>
            <w:tcMar>
              <w:top w:w="80" w:type="dxa"/>
              <w:start w:w="80" w:type="dxa"/>
              <w:bottom w:w="80" w:type="dxa"/>
              <w:end w:w="80" w:type="dxa"/>
            </w:tcMar>
          </w:tcPr>
          <w:p>
            <w:r>
              <w:rPr>
                <w:rFonts w:ascii="Arial" w:hAnsi="Arial" w:eastAsia="Arial"/>
                <w:b/>
                <w:color w:val="FFFFFF"/>
                <w:sz w:val="14"/>
              </w:rPr>
              <w:t>Suppositions / preuves</w:t>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bl>
    <w:p/>
    <w:p>
      <w:pPr>
        <w:pStyle w:val="Heading2"/>
        <w:keepNext/>
      </w:pPr>
      <w:r>
        <w:t>Outil de communication 9 - carte de divulgation et de référence croisée</w:t>
      </w:r>
    </w:p>
    <w:tbl>
      <w:tblPr>
        <w:tblStyle w:val="TableGrid"/>
        <w:tblW w:type="auto" w:w="0"/>
        <w:jc w:val="center"/>
        <w:tblLook w:firstColumn="1" w:firstRow="1" w:lastColumn="0" w:lastRow="0" w:noHBand="0" w:noVBand="1" w:val="04A0"/>
      </w:tblPr>
      <w:tblGrid>
        <w:gridCol w:w="1962"/>
        <w:gridCol w:w="1962"/>
        <w:gridCol w:w="1962"/>
        <w:gridCol w:w="1962"/>
        <w:gridCol w:w="1962"/>
      </w:tblGrid>
      <w:tr>
        <w:trPr>
          <w:tblHeader w:val="true"/>
        </w:trPr>
        <w:tc>
          <w:tcPr>
            <w:tcW w:type="dxa" w:w="1962"/>
            <w:shd w:fill="173B6C"/>
            <w:tcMar>
              <w:top w:w="80" w:type="dxa"/>
              <w:start w:w="80" w:type="dxa"/>
              <w:bottom w:w="80" w:type="dxa"/>
              <w:end w:w="80" w:type="dxa"/>
            </w:tcMar>
          </w:tcPr>
          <w:p>
            <w:r>
              <w:rPr>
                <w:rFonts w:ascii="Arial" w:hAnsi="Arial" w:eastAsia="Arial"/>
                <w:b/>
                <w:color w:val="FFFFFF"/>
                <w:sz w:val="14"/>
              </w:rPr>
              <w:t>Matériel</w:t>
            </w:r>
          </w:p>
        </w:tc>
        <w:tc>
          <w:tcPr>
            <w:tcW w:type="dxa" w:w="1962"/>
            <w:shd w:fill="173B6C"/>
            <w:tcMar>
              <w:top w:w="80" w:type="dxa"/>
              <w:start w:w="80" w:type="dxa"/>
              <w:bottom w:w="80" w:type="dxa"/>
              <w:end w:w="80" w:type="dxa"/>
            </w:tcMar>
          </w:tcPr>
          <w:p>
            <w:r>
              <w:rPr>
                <w:rFonts w:ascii="Arial" w:hAnsi="Arial" w:eastAsia="Arial"/>
                <w:b/>
                <w:color w:val="FFFFFF"/>
                <w:sz w:val="14"/>
              </w:rPr>
              <w:t>Gouvernance</w:t>
            </w:r>
          </w:p>
        </w:tc>
        <w:tc>
          <w:tcPr>
            <w:tcW w:type="dxa" w:w="1962"/>
            <w:shd w:fill="173B6C"/>
            <w:tcMar>
              <w:top w:w="80" w:type="dxa"/>
              <w:start w:w="80" w:type="dxa"/>
              <w:bottom w:w="80" w:type="dxa"/>
              <w:end w:w="80" w:type="dxa"/>
            </w:tcMar>
          </w:tcPr>
          <w:p>
            <w:r>
              <w:rPr>
                <w:rFonts w:ascii="Arial" w:hAnsi="Arial" w:eastAsia="Arial"/>
                <w:b/>
                <w:color w:val="FFFFFF"/>
                <w:sz w:val="14"/>
              </w:rPr>
              <w:t>Stratégie / effets financiers</w:t>
            </w:r>
          </w:p>
        </w:tc>
        <w:tc>
          <w:tcPr>
            <w:tcW w:type="dxa" w:w="1962"/>
            <w:shd w:fill="173B6C"/>
            <w:tcMar>
              <w:top w:w="80" w:type="dxa"/>
              <w:start w:w="80" w:type="dxa"/>
              <w:bottom w:w="80" w:type="dxa"/>
              <w:end w:w="80" w:type="dxa"/>
            </w:tcMar>
          </w:tcPr>
          <w:p>
            <w:r>
              <w:rPr>
                <w:rFonts w:ascii="Arial" w:hAnsi="Arial" w:eastAsia="Arial"/>
                <w:b/>
                <w:color w:val="FFFFFF"/>
                <w:sz w:val="14"/>
              </w:rPr>
              <w:t>Gestion des risques</w:t>
            </w:r>
          </w:p>
        </w:tc>
        <w:tc>
          <w:tcPr>
            <w:tcW w:type="dxa" w:w="1962"/>
            <w:shd w:fill="173B6C"/>
            <w:tcMar>
              <w:top w:w="80" w:type="dxa"/>
              <w:start w:w="80" w:type="dxa"/>
              <w:bottom w:w="80" w:type="dxa"/>
              <w:end w:w="80" w:type="dxa"/>
            </w:tcMar>
          </w:tcPr>
          <w:p>
            <w:r>
              <w:rPr>
                <w:rFonts w:ascii="Arial" w:hAnsi="Arial" w:eastAsia="Arial"/>
                <w:b/>
                <w:color w:val="FFFFFF"/>
                <w:sz w:val="14"/>
              </w:rPr>
              <w:t>Mesures / objectifs / emplacement</w:t>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bl>
    <w:p/>
    <w:p>
      <w:pPr>
        <w:pStyle w:val="Heading2"/>
        <w:keepNext/>
      </w:pPr>
      <w:r>
        <w:t>Outil de communication 10 - porte d'homologation finale</w:t>
      </w:r>
    </w:p>
    <w:p>
      <w:pPr/>
      <w:r>
        <w:rPr>
          <w:rFonts w:ascii="Arial" w:hAnsi="Arial" w:eastAsia="Arial"/>
        </w:rPr>
        <w:t>☐ La version finale de la publication correspond à celle examinée par la direction et le conseil d'administration.</w:t>
      </w:r>
    </w:p>
    <w:p>
      <w:pPr/>
      <w:r>
        <w:rPr>
          <w:rFonts w:ascii="Arial" w:hAnsi="Arial" w:eastAsia="Arial"/>
        </w:rPr>
        <w:t>☐ Les bases de déclaration, les normes, les relevés et les déclarations prévues sont explicites.</w:t>
      </w:r>
    </w:p>
    <w:p>
      <w:pPr/>
      <w:r>
        <w:rPr>
          <w:rFonts w:ascii="Arial" w:hAnsi="Arial" w:eastAsia="Arial"/>
        </w:rPr>
        <w:t>☐ Les risques et opportunités matériels sont complets et peuvent être tracés jusqu'aux dossiers approuvés.</w:t>
      </w:r>
    </w:p>
    <w:p>
      <w:pPr/>
      <w:r>
        <w:rPr>
          <w:rFonts w:ascii="Arial" w:hAnsi="Arial" w:eastAsia="Arial"/>
        </w:rPr>
        <w:t>☐ Les décisions de matérialisme et les choix d'agrégation sont documentés.</w:t>
      </w:r>
    </w:p>
    <w:p>
      <w:pPr/>
      <w:r>
        <w:rPr>
          <w:rFonts w:ascii="Arial" w:hAnsi="Arial" w:eastAsia="Arial"/>
        </w:rPr>
        <w:t>☐ La gouvernance, la stratégie, la gestion des risques, les mesures et les objectifs sont reliés.</w:t>
      </w:r>
    </w:p>
    <w:p>
      <w:pPr/>
      <w:r>
        <w:rPr>
          <w:rFonts w:ascii="Arial" w:hAnsi="Arial" w:eastAsia="Arial"/>
        </w:rPr>
        <w:t>☐ Les effets financiers actuels et anticipés ont été examinés par le ministère des Finances.</w:t>
      </w:r>
    </w:p>
    <w:p>
      <w:pPr/>
      <w:r>
        <w:rPr>
          <w:rFonts w:ascii="Arial" w:hAnsi="Arial" w:eastAsia="Arial"/>
        </w:rPr>
        <w:t>☐ UK SRS S2 est complète ou l'utilisation du paragraphe E3 est divulguée et contrôlée.</w:t>
      </w:r>
    </w:p>
    <w:p>
      <w:pPr/>
      <w:r>
        <w:rPr>
          <w:rFonts w:ascii="Arial" w:hAnsi="Arial" w:eastAsia="Arial"/>
        </w:rPr>
        <w:t>☐ Les méthodes, les estimations, l'incertitude, les limitations et les lacunes en matière de données sont transparentes.</w:t>
      </w:r>
    </w:p>
    <w:p>
      <w:pPr/>
      <w:r>
        <w:rPr>
          <w:rFonts w:ascii="Arial" w:hAnsi="Arial" w:eastAsia="Arial"/>
        </w:rPr>
        <w:t>☐ Les données, les preuves, les contrôles et les représentations de la gestion sont conservés.</w:t>
      </w:r>
    </w:p>
    <w:p>
      <w:pPr/>
      <w:r>
        <w:rPr>
          <w:rFonts w:ascii="Arial" w:hAnsi="Arial" w:eastAsia="Arial"/>
        </w:rPr>
        <w:t>☐ La portée de l'assurance est décrite séparément du respect des normes.</w:t>
      </w:r>
    </w:p>
    <w:p>
      <w:pPr/>
      <w:r>
        <w:rPr>
          <w:rFonts w:ascii="Arial" w:hAnsi="Arial" w:eastAsia="Arial"/>
        </w:rPr>
        <w:t>☐ Les revendications sont cohérentes sur tous les canaux publics.</w:t>
      </w:r>
    </w:p>
    <w:p>
      <w:pPr/>
      <w:r>
        <w:rPr>
          <w:rFonts w:ascii="Arial" w:hAnsi="Arial" w:eastAsia="Arial"/>
        </w:rPr>
        <w:t>☐ Des déclencheurs de surveillance et de mise à jour post-publication sont affectés.</w:t>
      </w:r>
    </w:p>
    <w:p>
      <w:pPr>
        <w:pStyle w:val="Heading2"/>
        <w:keepNext/>
      </w:pPr>
      <w:r>
        <w:t>Liste des approbations</w:t>
      </w:r>
    </w:p>
    <w:tbl>
      <w:tblPr>
        <w:tblStyle w:val="TableGrid"/>
        <w:tblW w:type="auto" w:w="0"/>
        <w:jc w:val="center"/>
        <w:tblLook w:firstColumn="1" w:firstRow="1" w:lastColumn="0" w:lastRow="0" w:noHBand="0" w:noVBand="1" w:val="04A0"/>
      </w:tblPr>
      <w:tblGrid>
        <w:gridCol w:w="2452"/>
        <w:gridCol w:w="2452"/>
        <w:gridCol w:w="2452"/>
        <w:gridCol w:w="2452"/>
      </w:tblGrid>
      <w:tr>
        <w:trPr>
          <w:tblHeader w:val="true"/>
        </w:trPr>
        <w:tc>
          <w:tcPr>
            <w:tcW w:type="dxa" w:w="2452"/>
            <w:shd w:fill="173B6C"/>
            <w:tcMar>
              <w:top w:w="80" w:type="dxa"/>
              <w:start w:w="80" w:type="dxa"/>
              <w:bottom w:w="80" w:type="dxa"/>
              <w:end w:w="80" w:type="dxa"/>
            </w:tcMar>
          </w:tcPr>
          <w:p>
            <w:r>
              <w:rPr>
                <w:rFonts w:ascii="Arial" w:hAnsi="Arial" w:eastAsia="Arial"/>
                <w:b/>
                <w:color w:val="FFFFFF"/>
                <w:sz w:val="16"/>
              </w:rPr>
              <w:t>Rôle</w:t>
            </w:r>
          </w:p>
        </w:tc>
        <w:tc>
          <w:tcPr>
            <w:tcW w:type="dxa" w:w="2452"/>
            <w:shd w:fill="173B6C"/>
            <w:tcMar>
              <w:top w:w="80" w:type="dxa"/>
              <w:start w:w="80" w:type="dxa"/>
              <w:bottom w:w="80" w:type="dxa"/>
              <w:end w:w="80" w:type="dxa"/>
            </w:tcMar>
          </w:tcPr>
          <w:p>
            <w:r>
              <w:rPr>
                <w:rFonts w:ascii="Arial" w:hAnsi="Arial" w:eastAsia="Arial"/>
                <w:b/>
                <w:color w:val="FFFFFF"/>
                <w:sz w:val="16"/>
              </w:rPr>
              <w:t>Nom</w:t>
            </w:r>
          </w:p>
        </w:tc>
        <w:tc>
          <w:tcPr>
            <w:tcW w:type="dxa" w:w="2452"/>
            <w:shd w:fill="173B6C"/>
            <w:tcMar>
              <w:top w:w="80" w:type="dxa"/>
              <w:start w:w="80" w:type="dxa"/>
              <w:bottom w:w="80" w:type="dxa"/>
              <w:end w:w="80" w:type="dxa"/>
            </w:tcMar>
          </w:tcPr>
          <w:p>
            <w:r>
              <w:rPr>
                <w:rFonts w:ascii="Arial" w:hAnsi="Arial" w:eastAsia="Arial"/>
                <w:b/>
                <w:color w:val="FFFFFF"/>
                <w:sz w:val="16"/>
              </w:rPr>
              <w:t>Décision / date</w:t>
            </w:r>
          </w:p>
        </w:tc>
        <w:tc>
          <w:tcPr>
            <w:tcW w:type="dxa" w:w="2452"/>
            <w:shd w:fill="173B6C"/>
            <w:tcMar>
              <w:top w:w="80" w:type="dxa"/>
              <w:start w:w="80" w:type="dxa"/>
              <w:bottom w:w="80" w:type="dxa"/>
              <w:end w:w="80" w:type="dxa"/>
            </w:tcMar>
          </w:tcPr>
          <w:p>
            <w:r>
              <w:rPr>
                <w:rFonts w:ascii="Arial" w:hAnsi="Arial" w:eastAsia="Arial"/>
                <w:b/>
                <w:color w:val="FFFFFF"/>
                <w:sz w:val="16"/>
              </w:rPr>
              <w:t>Actions ouvertes</w:t>
            </w:r>
          </w:p>
        </w:tc>
      </w:tr>
      <w:tr>
        <w:tc>
          <w:tcPr>
            <w:tcW w:type="dxa" w:w="2452"/>
            <w:shd w:fill="F4F6F8"/>
            <w:tcMar>
              <w:top w:w="75" w:type="dxa"/>
              <w:start w:w="80" w:type="dxa"/>
              <w:bottom w:w="75" w:type="dxa"/>
              <w:end w:w="80" w:type="dxa"/>
            </w:tcMar>
          </w:tcPr>
          <w:p>
            <w:r>
              <w:rPr>
                <w:rFonts w:ascii="Arial" w:hAnsi="Arial" w:eastAsia="Arial"/>
                <w:b/>
                <w:color w:val="1C2733"/>
                <w:sz w:val="16"/>
              </w:rPr>
              <w:t>Propriétaire déclarant</w:t>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r>
      <w:tr>
        <w:tc>
          <w:tcPr>
            <w:tcW w:type="dxa" w:w="2452"/>
            <w:tcMar>
              <w:top w:w="75" w:type="dxa"/>
              <w:start w:w="80" w:type="dxa"/>
              <w:bottom w:w="75" w:type="dxa"/>
              <w:end w:w="80" w:type="dxa"/>
            </w:tcMar>
          </w:tcPr>
          <w:p>
            <w:r>
              <w:rPr>
                <w:rFonts w:ascii="Arial" w:hAnsi="Arial" w:eastAsia="Arial"/>
                <w:b/>
                <w:color w:val="1C2733"/>
                <w:sz w:val="16"/>
              </w:rPr>
              <w:t>CFO / réviseur financier</w:t>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r>
      <w:tr>
        <w:tc>
          <w:tcPr>
            <w:tcW w:type="dxa" w:w="2452"/>
            <w:shd w:fill="F4F6F8"/>
            <w:tcMar>
              <w:top w:w="75" w:type="dxa"/>
              <w:start w:w="80" w:type="dxa"/>
              <w:bottom w:w="75" w:type="dxa"/>
              <w:end w:w="80" w:type="dxa"/>
            </w:tcMar>
          </w:tcPr>
          <w:p>
            <w:r>
              <w:rPr>
                <w:rFonts w:ascii="Arial" w:hAnsi="Arial" w:eastAsia="Arial"/>
                <w:b/>
                <w:color w:val="1C2733"/>
                <w:sz w:val="16"/>
              </w:rPr>
              <w:t>Réviseur de risques / stratégies</w:t>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r>
      <w:tr>
        <w:tc>
          <w:tcPr>
            <w:tcW w:type="dxa" w:w="2452"/>
            <w:tcMar>
              <w:top w:w="75" w:type="dxa"/>
              <w:start w:w="80" w:type="dxa"/>
              <w:bottom w:w="75" w:type="dxa"/>
              <w:end w:w="80" w:type="dxa"/>
            </w:tcMar>
          </w:tcPr>
          <w:p>
            <w:r>
              <w:rPr>
                <w:rFonts w:ascii="Arial" w:hAnsi="Arial" w:eastAsia="Arial"/>
                <w:b/>
                <w:color w:val="1C2733"/>
                <w:sz w:val="16"/>
              </w:rPr>
              <w:t>Secrétaire de la société / juriste</w:t>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r>
      <w:tr>
        <w:tc>
          <w:tcPr>
            <w:tcW w:type="dxa" w:w="2452"/>
            <w:shd w:fill="F4F6F8"/>
            <w:tcMar>
              <w:top w:w="75" w:type="dxa"/>
              <w:start w:w="80" w:type="dxa"/>
              <w:bottom w:w="75" w:type="dxa"/>
              <w:end w:w="80" w:type="dxa"/>
            </w:tcMar>
          </w:tcPr>
          <w:p>
            <w:r>
              <w:rPr>
                <w:rFonts w:ascii="Arial" w:hAnsi="Arial" w:eastAsia="Arial"/>
                <w:b/>
                <w:color w:val="1C2733"/>
                <w:sz w:val="16"/>
              </w:rPr>
              <w:t>Réviseur technique</w:t>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r>
      <w:tr>
        <w:tc>
          <w:tcPr>
            <w:tcW w:type="dxa" w:w="2452"/>
            <w:tcMar>
              <w:top w:w="75" w:type="dxa"/>
              <w:start w:w="80" w:type="dxa"/>
              <w:bottom w:w="75" w:type="dxa"/>
              <w:end w:w="80" w:type="dxa"/>
            </w:tcMar>
          </w:tcPr>
          <w:p>
            <w:r>
              <w:rPr>
                <w:rFonts w:ascii="Arial" w:hAnsi="Arial" w:eastAsia="Arial"/>
                <w:b/>
                <w:color w:val="1C2733"/>
                <w:sz w:val="16"/>
              </w:rPr>
              <w:t>Préparation à l' audit interne / assurance</w:t>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r>
      <w:tr>
        <w:tc>
          <w:tcPr>
            <w:tcW w:type="dxa" w:w="2452"/>
            <w:shd w:fill="F4F6F8"/>
            <w:tcMar>
              <w:top w:w="75" w:type="dxa"/>
              <w:start w:w="80" w:type="dxa"/>
              <w:bottom w:w="75" w:type="dxa"/>
              <w:end w:w="80" w:type="dxa"/>
            </w:tcMar>
          </w:tcPr>
          <w:p>
            <w:r>
              <w:rPr>
                <w:rFonts w:ascii="Arial" w:hAnsi="Arial" w:eastAsia="Arial"/>
                <w:b/>
                <w:color w:val="1C2733"/>
                <w:sz w:val="16"/>
              </w:rPr>
              <w:t>Président du conseil ou du comité</w:t>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r>
    </w:tbl>
    <w:p/>
    <w:p>
      <w:pPr>
        <w:pStyle w:val="Heading2"/>
        <w:keepNext/>
      </w:pPr>
      <w:r>
        <w:t>Sources, statut et examen</w:t>
      </w:r>
    </w:p>
    <w:p>
      <w:pPr/>
      <w:r>
        <w:t>Les sources officielles conservées dans ce lot sont énumérées ci-dessous.Les ancres du paragraphe principal identifient les sources directement soutenant cet article; d'autres entrées fournissent un contexte de mise en œuvre, de réglementation ou de comparaison étroitement lié.</w:t>
      </w:r>
    </w:p>
    <w:p>
      <w:pPr/>
      <w:r>
        <w:rPr>
          <w:rFonts w:ascii="Arial" w:hAnsi="Arial" w:eastAsia="Arial"/>
        </w:rPr>
        <w:t>SRC-01. UK SRS S1 Les exigences générales en matière de divulgation des informations financières liées à la durabilité - Département des affaires et du commerce, 25 Février 2026- Finalisé . UK standard; source normative principale. https://www.gov.uk/government/publications/uk-sustainability-reporting-standards-uk-srs-s1-and-uk-srs-s2</w:t>
      </w:r>
    </w:p>
    <w:p>
      <w:pPr/>
      <w:r>
        <w:rPr>
          <w:rFonts w:ascii="Arial" w:hAnsi="Arial" w:eastAsia="Arial"/>
        </w:rPr>
        <w:t>SRC-02. UK SRS S2 Les informations relatives au climat - Département des affaires et du commerce, 25 Février 2026- Finalisé . UK standard; source principale de rapports sur le climat. https://www.gov.uk/government/publications/uk-sustainability-reporting-standards-uk-srs-s1-and-uk-srs-s2</w:t>
      </w:r>
    </w:p>
    <w:p>
      <w:pPr/>
      <w:r>
        <w:rPr>
          <w:rFonts w:ascii="Arial" w:hAnsi="Arial" w:eastAsia="Arial"/>
        </w:rPr>
        <w:t>SRC-03- Réponse du gouvernement à la consultation sur le UK Normes de déclaration sur la durabilité - Département des affaires et du commerce, 25 Février 2026- Explique officielle de la décision finale UK Les modifications, l'utilisation volontaire et le traitement de secours. https://www.gov.uk/government/consultations/exposure-drafts-uk-sustainability-reporting-standards/outcome/government-response-to-the-consultation-on-uk-sustainability-reporting-standards-web-version</w:t>
      </w:r>
    </w:p>
    <w:p>
      <w:pPr/>
      <w:r>
        <w:rPr>
          <w:rFonts w:ascii="Arial" w:hAnsi="Arial" w:eastAsia="Arial"/>
        </w:rPr>
        <w:t>SRC-04. Développement des rapports sur la durabilité: questions fréquemment posées - Conseil de déclaration financière, mis à jour 26 Février 2026- Officiel . UK contexte de mise en œuvre et FAQ. https://www.frc.org.uk/library/standards-codes-policy/accounting-and-reporting/annual-corporate-reporting/sustainability-reporting-developments-frequently-asked-questions/</w:t>
      </w:r>
    </w:p>
    <w:p>
      <w:pPr/>
      <w:r>
        <w:rPr>
          <w:rFonts w:ascii="Arial" w:hAnsi="Arial" w:eastAsia="Arial"/>
        </w:rPr>
        <w:t>SRC-05. CP26/5: aligner les informations sur la durabilité des émetteurs cotés avec les normes internationales - Autorité de conduite financière, 30 Le mois de janvier 2026- consultation fermée; non réglementation définitive à la 6 Août 2026. https://www.fca.org.uk/publications/consultation-papers/cp26-5-sustainability-disclosures</w:t>
      </w:r>
    </w:p>
    <w:p>
      <w:pPr/>
      <w:r>
        <w:rPr>
          <w:rFonts w:ascii="Arial" w:hAnsi="Arial" w:eastAsia="Arial"/>
        </w:rPr>
        <w:t>SRC-06- orientation sur le rapport stratégique - Conseil de la déclaration financière, 4 Février 2026- orientation officielle non obligatoire; UK le contexte de la connectivité du rapport annuel. https://www.frc.org.uk/library/standards-codes-policy/accounting-and-reporting/annual-corporate-reporting/guidance-on-the-strategic-report/</w:t>
      </w:r>
    </w:p>
    <w:p>
      <w:pPr/>
      <w:r>
        <w:rPr>
          <w:rFonts w:ascii="Arial" w:hAnsi="Arial" w:eastAsia="Arial"/>
        </w:rPr>
        <w:t>SRC-07. IFRS S1 Exigences générales pour la divulgation des informations financières liées à la durabilité - IFRS Fondation, juin 2023- Norme internationale; source de comparaison pour les deux types UK/IFRS les revendications. https://www.ifrs.org/issued-standards/ifrs-sustainability-standards-navigator/ifrs-s1-general-requirements/</w:t>
      </w:r>
    </w:p>
    <w:tbl>
      <w:tblPr>
        <w:tblStyle w:val="TableGrid"/>
        <w:tblW w:type="auto" w:w="0"/>
        <w:tblLook w:firstColumn="1" w:firstRow="1" w:lastColumn="0" w:lastRow="0" w:noHBand="0" w:noVBand="1" w:val="04A0"/>
      </w:tblPr>
      <w:tblGrid>
        <w:gridCol w:w="9808"/>
      </w:tblGrid>
      <w:tr>
        <w:tc>
          <w:tcPr>
            <w:tcW w:type="dxa" w:w="9808"/>
            <w:shd w:fill="E8F3F3"/>
            <w:tcMar>
              <w:top w:w="120" w:type="dxa"/>
              <w:start w:w="150" w:type="dxa"/>
              <w:bottom w:w="120" w:type="dxa"/>
              <w:end w:w="150" w:type="dxa"/>
            </w:tcMar>
            <w:tcBorders>
              <w:top w:val="single" w:sz="4" w:color="B6C7D8"/>
              <w:bottom w:val="single" w:sz="4" w:color="B6C7D8"/>
              <w:right w:val="single" w:sz="4" w:color="B6C7D8"/>
              <w:left w:val="single" w:sz="18" w:color="2E7B8A"/>
            </w:tcBorders>
          </w:tcPr>
          <w:p>
            <w:r>
              <w:rPr>
                <w:rFonts w:ascii="Arial" w:hAnsi="Arial" w:eastAsia="Arial"/>
                <w:b/>
                <w:color w:val="2E7B8A"/>
                <w:sz w:val="20"/>
              </w:rPr>
              <w:t>Ancrages du paragraphe principal
UK SRS S1 et à la fois UK SRS S2, fin février 2026 Les cinq articles connexes du Knowledge Hub figurant dans ce paquet.</w:t>
              <w:br/>
            </w:r>
            <w:r>
              <w:rPr>
                <w:rFonts w:ascii="Arial" w:hAnsi="Arial" w:eastAsia="Arial"/>
                <w:color w:val="1C2733"/>
                <w:sz w:val="18"/>
              </w:rPr>
              <w:t/>
            </w:r>
          </w:p>
        </w:tc>
      </w:tr>
    </w:tbl>
    <w:p/>
    <w:p>
      <w:pPr/>
      <w:r>
        <w:rPr>
          <w:rFonts w:ascii="Arial" w:hAnsi="Arial" w:eastAsia="Arial"/>
        </w:rPr>
        <w:t>Date de réexamen technique: 6 Août 2026- Le ... UK La position réglementaire du SRS doit être réexaminée avant publication ou utilisation dans un cycle de rapports en direct.5 La proposition reste une proposition à la date de ce réexamen; elle n'est pas considérée ici comme loi ou règle définitive.</w:t>
      </w:r>
    </w:p>
    <w:sectPr>
      <w:headerReference w:type="default" r:id="rId9"/>
      <w:footerReference w:type="default" r:id="rId10"/>
      <w:pgSz w:w="11906" w:h="16838"/>
      <w:pgMar w:top="1020" w:right="1049" w:bottom="879" w:left="1049" w:header="397"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UKSRS1-TOOL-006  Je suis en train de faire un test. 6 Août 2026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color="4C86B8" w:space="4"/>
      </w:pBdr>
    </w:pPr>
    <w:r>
      <w:t>LONDON REPORTING ACADEMY  ·  CENTRE DE CONNAISSANCES  ·  UK SRS S1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64" w:lineRule="auto"/>
    </w:pPr>
    <w:rPr>
      <w:rFonts w:ascii="Arial" w:hAnsi="Arial"/>
      <w:color w:val="1821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D3068"/>
      <w:sz w:val="3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D3068"/>
      <w:sz w:val="31"/>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rial" w:hAnsi="Arial"/>
      <w:b/>
      <w:bCs/>
      <w:color w:val="1E5A8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0D306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rial" w:hAnsi="Arial"/>
      <w:b w:val="0"/>
      <w:i/>
      <w:iCs/>
      <w:color w:val="59636E"/>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Caption">
    <w:name w:val="LRA Caption"/>
    <w:pPr>
      <w:spacing w:after="140"/>
    </w:pPr>
    <w:rPr>
      <w:rFonts w:ascii="Arial" w:hAnsi="Arial"/>
      <w:i/>
      <w:color w:val="59636E"/>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assets.publishing.service.gov.uk/media/699dd3b007d7bff3604d6c5e/uk_srs_1_general_requirements_for_disclosure_of_sustainability_related_financial_information.pdf" TargetMode="External"/><Relationship Id="rId14" Type="http://schemas.openxmlformats.org/officeDocument/2006/relationships/hyperlink" Target="https://assets.publishing.service.gov.uk/media/699ddf22532c9ad91ebbcc2b/uk_srs_s2_climate_related_disclosures.pdf" TargetMode="External"/><Relationship Id="rId15" Type="http://schemas.openxmlformats.org/officeDocument/2006/relationships/hyperlink" Target="https://www.gov.uk/government/consultations/exposure-drafts-uk-sustainability-reporting-standards/outcome/government-response-to-the-consultation-on-uk-sustainability-reporting-standards-web-version" TargetMode="External"/><Relationship Id="rId16" Type="http://schemas.openxmlformats.org/officeDocument/2006/relationships/hyperlink" Target="https://www.frc.org.uk/library/standards-codes-policy/accounting-and-reporting/annual-corporate-reporting/sustainability-reporting-developments-frequently-asked-questions/" TargetMode="External"/><Relationship Id="rId17" Type="http://schemas.openxmlformats.org/officeDocument/2006/relationships/hyperlink" Target="https://www.fca.org.uk/publications/consultation-papers/cp26-5-sustainability-disclosures" TargetMode="External"/><Relationship Id="rId18" Type="http://schemas.openxmlformats.org/officeDocument/2006/relationships/hyperlink" Target="https://www.frc.org.uk/library/standards-codes-policy/accounting-and-reporting/annual-corporate-reporting/guidance-on-the-strategic-report/" TargetMode="External"/><Relationship Id="rId19" Type="http://schemas.openxmlformats.org/officeDocument/2006/relationships/hyperlink" Target="https://www.frc.org.uk/library/standards-codes-policy/corporate-governance/uk-corporate-governance-code/" TargetMode="External"/><Relationship Id="rId20" Type="http://schemas.openxmlformats.org/officeDocument/2006/relationships/hyperlink" Target="https://www.frc.org.uk/docs/9420/html/" TargetMode="External"/><Relationship Id="rId21" Type="http://schemas.openxmlformats.org/officeDocument/2006/relationships/hyperlink" Target="https://www.frc.org.uk/library/standards-codes-policy/audit-assurance-and-ethics/assurance-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SRS S1 First-Cycle Working Toolkit</dc:title>
  <dc:subject>Editable registers and approval aids for reporting basis, implementation planning, paragraph E3, claims, materiality, risk and opportunity identification, metrics, financial effects and board sign-off.</dc:subject>
  <dc:creator/>
  <cp:keywords>UK SRS S1, UK sustainability reporting, materiality, climate-only relief, sustainability-related risks and opportunities</cp:keywords>
  <dc:description>Reviewed 2 August 2026</dc:description>
  <cp:lastModifiedBy/>
  <cp:revision>1</cp:revision>
  <dcterms:created xsi:type="dcterms:W3CDTF">2013-12-23T23:15:00Z</dcterms:created>
  <dcterms:modified xsi:type="dcterms:W3CDTF">2013-12-23T23:15:00Z</dcterms:modified>
  <cp:category/>
</cp:coreProperties>
</file>