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drawing>
          <wp:inline xmlns:a="http://schemas.openxmlformats.org/drawingml/2006/main" xmlns:pic="http://schemas.openxmlformats.org/drawingml/2006/picture">
            <wp:extent cx="4023360" cy="667031"/>
            <wp:docPr id="1" name="Picture 1"/>
            <wp:cNvGraphicFramePr>
              <a:graphicFrameLocks noChangeAspect="1"/>
            </wp:cNvGraphicFramePr>
            <a:graphic>
              <a:graphicData uri="http://schemas.openxmlformats.org/drawingml/2006/picture">
                <pic:pic>
                  <pic:nvPicPr>
                    <pic:cNvPr id="0" name="LRA_logo.png"/>
                    <pic:cNvPicPr/>
                  </pic:nvPicPr>
                  <pic:blipFill>
                    <a:blip r:embed="rId11"/>
                    <a:stretch>
                      <a:fillRect/>
                    </a:stretch>
                  </pic:blipFill>
                  <pic:spPr>
                    <a:xfrm>
                      <a:off x="0" y="0"/>
                      <a:ext cx="4023360" cy="667031"/>
                    </a:xfrm>
                    <a:prstGeom prst="rect"/>
                  </pic:spPr>
                </pic:pic>
              </a:graphicData>
            </a:graphic>
          </wp:inline>
        </w:drawing>
      </w:r>
    </w:p>
    <w:p>
      <w:pPr>
        <w:spacing w:before="160" w:after="160"/>
      </w:pPr>
      <w:r>
        <w:rPr>
          <w:rFonts w:ascii="Arial" w:hAnsi="Arial"/>
          <w:b/>
          <w:color w:val="1E5A8A"/>
          <w:sz w:val="21"/>
        </w:rPr>
        <w:t>LRA CENTRE DE CONNAISSANCES  ·  UK SRS S1</w:t>
      </w:r>
    </w:p>
    <w:p>
      <w:pPr>
        <w:pStyle w:val="Title"/>
        <w:spacing w:after="200"/>
      </w:pPr>
      <w:r>
        <w:rPr>
          <w:rFonts w:ascii="Arial" w:hAnsi="Arial"/>
          <w:b/>
          <w:color w:val="0D3068"/>
          <w:sz w:val="54"/>
        </w:rPr>
        <w:t>UK SRS S1 Template de rapport - outil de rédaction éditable</w:t>
      </w:r>
    </w:p>
    <w:p>
      <w:pPr>
        <w:pStyle w:val="Subtitle"/>
        <w:spacing w:after="300"/>
      </w:pPr>
      <w:r>
        <w:rPr>
          <w:rFonts w:ascii="Arial" w:hAnsi="Arial"/>
          <w:color w:val="59636E"/>
          <w:sz w:val="24"/>
        </w:rPr>
        <w:t>Un cadre de rédaction du rapport annuel basé sur Word avec base de préparation, fournisseurs d'informations à quatre piliers, champs de preuve, indice de référence croisée et contrôles de signalisation.</w:t>
      </w:r>
    </w:p>
    <w:tbl>
      <w:tblPr>
        <w:tblW w:type="auto" w:w="0"/>
        <w:jc w:val="left"/>
        <w:tblLayout w:type="fixed"/>
        <w:tblLook w:firstColumn="1" w:firstRow="1" w:lastColumn="0" w:lastRow="0" w:noHBand="0" w:noVBand="1" w:val="04A0"/>
      </w:tblPr>
      <w:tblGrid>
        <w:gridCol w:w="9792"/>
      </w:tblGrid>
      <w:tr>
        <w:tc>
          <w:tcPr>
            <w:tcW w:type="dxa" w:w="9922"/>
            <w:shd w:fill="0D3068"/>
            <w:tcMar>
              <w:top w:w="0" w:type="dxa"/>
              <w:start w:w="0" w:type="dxa"/>
              <w:bottom w:w="0" w:type="dxa"/>
              <w:end w:w="0" w:type="dxa"/>
            </w:tcMar>
          </w:tcPr>
          <w:p>
            <w:r/>
          </w:p>
        </w:tc>
      </w:tr>
    </w:tbl>
    <w:tbl>
      <w:tblPr>
        <w:tblW w:type="auto" w:w="0"/>
        <w:jc w:val="left"/>
        <w:tblLayout w:type="fixed"/>
        <w:tblLook w:firstColumn="1" w:firstRow="1" w:lastColumn="0" w:lastRow="0" w:noHBand="0" w:noVBand="1" w:val="04A0"/>
      </w:tblPr>
      <w:tblGrid>
        <w:gridCol w:w="4961"/>
        <w:gridCol w:w="4961"/>
      </w:tblGrid>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Identification de l'article</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UKSRS1-TEMPLATE-EDITABLE</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Formatation</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Outil de mise en œuvre éditable</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Le public primaire</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 Les équipes de rapports du SRS, les examinateurs financiers, juridiques, de gouvernance et techniques</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Statut technique</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Préparé sur la base des éditions des UK SRS publiées le 25 février 2026 ; révisé le 2 août 2026.</w:t>
            </w:r>
          </w:p>
        </w:tc>
      </w:tr>
    </w:tbl>
    <w:p>
      <w:pPr>
        <w:spacing w:before="320"/>
      </w:pPr>
      <w:r>
        <w:rPr>
          <w:rFonts w:ascii="Arial" w:hAnsi="Arial"/>
          <w:i/>
          <w:color w:val="59636E"/>
          <w:sz w:val="18"/>
        </w:rPr>
        <w:t>Matériel pédagogique destiné aux professionnels. Les exemples illustratifs et les formulations doivent être adaptés et faire l’objet d’un examen technique.</w:t>
      </w:r>
    </w:p>
    <w:p>
      <w:r>
        <w:br w:type="page"/>
      </w:r>
    </w:p>
    <w:tbl>
      <w:tblPr>
        <w:tblW w:type="auto" w:w="0"/>
        <w:jc w:val="left"/>
        <w:tblLayout w:type="fixed"/>
        <w:tblLook w:firstColumn="1" w:firstRow="1" w:lastColumn="0" w:lastRow="0" w:noHBand="0" w:noVBand="1" w:val="04A0"/>
      </w:tblPr>
      <w:tblGrid>
        <w:gridCol w:w="9922"/>
      </w:tblGrid>
      <w:tr>
        <w:trPr>
          <w:cantSplit/>
        </w:trPr>
        <w:tc>
          <w:tcPr>
            <w:tcW w:type="dxa" w:w="9792"/>
            <w:shd w:fill="FFF4DF"/>
            <w:tcBorders>
              <w:top w:val="single" w:sz="3" w:color="B9CAD9"/>
              <w:left w:val="single" w:sz="18" w:color="A76900"/>
              <w:bottom w:val="single" w:sz="3" w:color="B9CAD9"/>
              <w:right w:val="single" w:sz="3" w:color="B9CAD9"/>
            </w:tcBorders>
            <w:tcMar>
              <w:top w:w="120" w:type="dxa"/>
              <w:start w:w="150" w:type="dxa"/>
              <w:bottom w:w="120" w:type="dxa"/>
              <w:end w:w="150" w:type="dxa"/>
            </w:tcMar>
          </w:tcPr>
          <w:p>
            <w:pPr>
              <w:spacing w:after="60"/>
            </w:pPr>
            <w:r>
              <w:rPr>
                <w:rFonts w:ascii="Arial" w:hAnsi="Arial"/>
                <w:b/>
                <w:color w:val="A76900"/>
                <w:sz w:val="21"/>
              </w:rPr>
              <w:t>Comment utiliser ce modèle</w:t>
            </w:r>
          </w:p>
          <w:p>
            <w:pPr>
              <w:spacing w:after="0"/>
            </w:pPr>
            <w:r>
              <w:rPr>
                <w:rFonts w:ascii="Arial" w:hAnsi="Arial"/>
                <w:color w:val="18212B"/>
                <w:sz w:val="19"/>
              </w:rPr>
              <w:t>Remplissez uniquement les instructions pertinentes aux informations matérielles et à la base de rapport approuvée. Remplacez tout le texte en parenthèses. Reliez chaque déclaration matérielle à des preuves, un propriétaire nommé et un réviseur. Supprimez les instructions de rédaction inutilisées avant publication. Cet outil n'est pas un modèle gouvernemental officiel et ne garantit pas la conformité.</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1E5A8A"/>
              <w:bottom w:val="single" w:sz="3" w:color="B9CAD9"/>
              <w:right w:val="single" w:sz="3" w:color="B9CAD9"/>
            </w:tcBorders>
            <w:tcMar>
              <w:top w:w="120" w:type="dxa"/>
              <w:start w:w="150" w:type="dxa"/>
              <w:bottom w:w="120" w:type="dxa"/>
              <w:end w:w="150" w:type="dxa"/>
            </w:tcMar>
          </w:tcPr>
          <w:p>
            <w:pPr>
              <w:spacing w:after="60"/>
            </w:pPr>
            <w:r>
              <w:rPr>
                <w:rFonts w:ascii="Arial" w:hAnsi="Arial"/>
                <w:b/>
                <w:color w:val="1E5A8A"/>
                <w:sz w:val="21"/>
              </w:rPr>
              <w:t>Statut actuel</w:t>
            </w:r>
          </w:p>
          <w:p>
            <w:pPr>
              <w:spacing w:after="0"/>
            </w:pPr>
            <w:r>
              <w:rPr>
                <w:rFonts w:ascii="Arial" w:hAnsi="Arial"/>
                <w:color w:val="18212B"/>
                <w:sz w:val="19"/>
              </w:rPr>
              <w:t>UK SRS S1 et à la fois UK SRS S2 ont été émises le 25 Février 2026 Les règles de déclaration obligatoires sont généralement appliquées à l'entité et au délai de reporting.</w:t>
            </w:r>
          </w:p>
        </w:tc>
      </w:tr>
    </w:tbl>
    <w:p>
      <w:pPr>
        <w:spacing w:after="20"/>
      </w:pPr>
    </w:p>
    <w:p>
      <w:pPr>
        <w:pStyle w:val="Heading1"/>
        <w:pageBreakBefore/>
      </w:pPr>
      <w:r>
        <w:rPr>
          <w:rFonts w:ascii="Arial" w:hAnsi="Arial"/>
          <w:b/>
          <w:color w:val="0D3068"/>
          <w:sz w:val="38"/>
        </w:rPr>
        <w:t>1- Base de préparation</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Indiquer l'entité déclarante et la concilier avec les états financiers connexes. Expliquer les acquisitions, les cessions et les différences de limites spécifiques aux mesures.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Indiquer la période et confirmer la publication en même temps que les états financiers connexes.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L'utilisation volontaire ou la loi/règle obligatoire exacte et sa durée d'effet.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Identifier UK SRS S1 et S2 et le février 2026 Les éditions; identifier les autres directives séparément.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les utilisateurs principaux, les perspectives, le test de la pertinence des informations, l'agrégation, l'obscurcissement et la réévaluation.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Identifier les industries et les sources spécifiques réellement appliquées, y compris les mesures prises ou adaptées.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Listes de chaque paragraphe, raison, divulgation affectée, information compensatrice et effet de réclamation.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Décrivez les jugements ayant eu un effet le plus important sur les informations communiquées.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Identifier des montants, sources, hypothèses, sensibilité et résultats possibles très incertains.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 placement du rapport et énumérer des références contrôlées précises.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Insérer le libellé uniquement après examen technique et juridique de la base complète.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2- Examen général de l' exécutif</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Résumer les risques et opportunités importants liés à la durabilité qui affectent les perspectives et les changements majeurs de la période.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Résumer les conclusions sur le modèle d'entreprise, la stratégie, l'effet financier et la résilience les plus importantes.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Résumer les mesures de relâche, l'incertitude matérielle, les limites d'étendue et la couverture assurée.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3- gouvernance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Identifier l'organisme ou l'individu et comment les responsabilités se reflètent dans les mandats et les politiques.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Expliquez comment les compétences appropriées sont disponibles ou développées.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Expliquez comment et à quelle fréquence l'organisme est informé et quels seuils d'escalade s'appliquent.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comment les questions de durabilité sont prises en compte dans la stratégie, les transactions majeures et la gestion des risques.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la surveillance de l'établissement des objectifs, des progrès et des liens de rémunération.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la délégation de la direction, les lignes de reporting et l'intégration des contrôles avec d'autres fonctions.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4- La stratégie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Décrivez la matière, la cause, l'exposition, la concentration et l'horizon temporel.</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Décrivez les effets actuels et attendus et où ils sont concentrés.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les réponses, les plans, les progrès, les décisions et les compromis.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les effets sur la situation financière, les performances et les flux de trésorerie au cours de la période.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Décrivez les effets attendus à court, moyen et long terme et comment ils sont inclus dans la planification financière.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Indiquer les quantités ou les intervalles, ou expliquer l'utilisation de secours et les éléments affectés.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l'évaluation, les hypothèses, la capacité d'adaptation et les limites.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5- Gestion des risques</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les méthodes, les sources, la couverture de la chaîne de valeur et les déclencheurs.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les critères, l'incertitude, la priorité et les liens avec la pertinence.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les mesures, les seuils, les incidents, les changements et l'escalade.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l'intégration avec la gestion des risques, la stratégie, les finances et les contrôles des entreprises.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Décrivez les changements importants par rapport à la période précédente.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6- Mesures et objectifs</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Liste des indicateurs requis par un UK Norme de déclaration sur la durabilité.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Liste des mesures utilisées pour surveiller chaque risque/opportunité et performance matérielle.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la pertinence de l'industrie, la source, l'inclusion et toute adaptation.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Définir la métrique, la limite, l'unité, le type, la validation, le calcul, les entrées, les limites et les hypothèses.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Les mesures d'État, l'objectif, la période, la période de base, les étapes et l'approbation.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Rapporte les performances, la tendance, les étapes manquées et les mesures correctives.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Expliquer les révision, remplacement, redétermination et effets de comparabilité.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7- Jugements, incertitudes et erreurs</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Expliquez les jugements qui ont le plus affecté l'information matérielle.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Expliquez pourquoi des directives et des industries spécifiques ont été appliquées.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les gammes, les scénarios, les jugements de capacité et d'incertitude.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l'extrapolation, l'allocation, les facteurs, les données manquantes et la sensibilité.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Décrire les changements apportés aux estimations ou méthodes et les corrections des erreurs importantes antérieures.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rPr>
          <w:rFonts w:ascii="Arial" w:hAnsi="Arial"/>
          <w:b/>
          <w:color w:val="0D3068"/>
          <w:sz w:val="38"/>
        </w:rPr>
        <w:t>8- Références croisées, assurance et approbation</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Identifier l'exigence/thème, le document, la page/ancrage, l'accès, le calendrier, le propriétaire et la version exacts.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Objet, critères, niveau, fournisseur, période, limite, exclusions et conclusion.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Conciliation enregistrée avec le rapport stratégique, risques principaux, KPIs et les états financiers.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Résumé complet, données, finances, représentations juridiques et de contrôle.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Rapidement</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Date de saisie, documents, réclamations, allégations, conditions et autorité déléguée.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Projet de réponse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 la déclaration spécifique à l'entité]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Les preuves / source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d'identifiants de preuve, rapports du système, calculs, politiques, minutes ou références croisées]</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Propriétaire / réviseur / statut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Propriétaire: [ ] Réviseur: [ ] Statut: [ Pas commencé / Projet / Révisé / Approuvé]</w:t>
                  </w:r>
                </w:p>
              </w:tc>
            </w:tr>
          </w:tbl>
          <w:p/>
        </w:tc>
      </w:tr>
    </w:tbl>
    <w:p>
      <w:pPr>
        <w:spacing w:after="40"/>
      </w:pPr>
    </w:p>
    <w:p>
      <w:pPr>
        <w:pStyle w:val="Heading1"/>
        <w:pageBreakBefore/>
      </w:pPr>
      <w:r>
        <w:t>Indice de référence croisée et de divulgation</w:t>
      </w:r>
    </w:p>
    <w:tbl>
      <w:tblPr>
        <w:tblW w:type="auto" w:w="0"/>
        <w:jc w:val="left"/>
        <w:tblLayout w:type="fixed"/>
        <w:tblLook w:firstColumn="1" w:firstRow="1" w:lastColumn="0" w:lastRow="0" w:noHBand="0" w:noVBand="1" w:val="04A0"/>
      </w:tblPr>
      <w:tblGrid>
        <w:gridCol w:w="1417"/>
        <w:gridCol w:w="1417"/>
        <w:gridCol w:w="1417"/>
        <w:gridCol w:w="1417"/>
        <w:gridCol w:w="1417"/>
        <w:gridCol w:w="1417"/>
        <w:gridCol w:w="1417"/>
      </w:tblGrid>
      <w:tr>
        <w:trPr>
          <w:tblHeader w:val="true"/>
        </w:trPr>
        <w:tc>
          <w:tcPr>
            <w:tcW w:type="dxa" w:w="173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Exigence / sujet</w:t>
            </w:r>
          </w:p>
        </w:tc>
        <w:tc>
          <w:tcPr>
            <w:tcW w:type="dxa" w:w="136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Localisation</w:t>
            </w:r>
          </w:p>
        </w:tc>
        <w:tc>
          <w:tcPr>
            <w:tcW w:type="dxa" w:w="2231"/>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Document / adresse URL</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Propriétaire</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Réviseur</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Assurance</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Statut de l'entreprise</w:t>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bl>
    <w:p>
      <w:pPr>
        <w:spacing w:after="20"/>
      </w:pPr>
    </w:p>
    <w:p>
      <w:pPr>
        <w:pStyle w:val="Heading1"/>
        <w:pageBreakBefore/>
      </w:pPr>
      <w:r>
        <w:t>Récord final de signature</w:t>
      </w:r>
    </w:p>
    <w:tbl>
      <w:tblPr>
        <w:tblW w:type="auto" w:w="0"/>
        <w:jc w:val="left"/>
        <w:tblLayout w:type="fixed"/>
        <w:tblLook w:firstColumn="1" w:firstRow="1" w:lastColumn="0" w:lastRow="0" w:noHBand="0" w:noVBand="1" w:val="04A0"/>
      </w:tblPr>
      <w:tblGrid>
        <w:gridCol w:w="4961"/>
        <w:gridCol w:w="4961"/>
      </w:tblGrid>
      <w:tr>
        <w:trPr>
          <w:tblHeader w:val="true"/>
        </w:trPr>
        <w:tc>
          <w:tcPr>
            <w:tcW w:type="dxa" w:w="3168"/>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champ d'approbation</w:t>
            </w:r>
          </w:p>
        </w:tc>
        <w:tc>
          <w:tcPr>
            <w:tcW w:type="dxa" w:w="662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Enregistrement</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Base de déclaration et revendications</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[Insertion de la base approuvée et du libellé final exact]</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Comité de communication des informations sur la gestion</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 ] Décision: [ ] Conditions: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Signe du directeur financier</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 ] Référence de représentation: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Secrétaire de la société / examen juridique</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 ] Révision des demandes et du placement: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Comité d'audit / de risque</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 ] Décision: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Approbation du conseil d'administration</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 ] Version approuvée: [ ] Conditions / autorité déléguée: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Rapport d'assurance</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fournisseur: [ ] Objet / niveau / date: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Enregistrement de la publication</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Date du rapport annuel: [ ] Fichiers / adresses URL / recettes de contrôle référencés: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Les déclencheurs de la prochaine révision</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[Inserter les déclencheurs réglementaires, standard, données et projets]</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59636E"/>
              <w:bottom w:val="single" w:sz="3" w:color="B9CAD9"/>
              <w:right w:val="single" w:sz="3" w:color="B9CAD9"/>
            </w:tcBorders>
            <w:tcMar>
              <w:top w:w="120" w:type="dxa"/>
              <w:start w:w="150" w:type="dxa"/>
              <w:bottom w:w="120" w:type="dxa"/>
              <w:end w:w="150" w:type="dxa"/>
            </w:tcMar>
          </w:tcPr>
          <w:p>
            <w:pPr>
              <w:spacing w:after="60"/>
            </w:pPr>
            <w:r>
              <w:rPr>
                <w:rFonts w:ascii="Arial" w:hAnsi="Arial"/>
                <w:b/>
                <w:color w:val="59636E"/>
                <w:sz w:val="21"/>
              </w:rPr>
              <w:t>Limitation d'utilisation finale</w:t>
            </w:r>
          </w:p>
          <w:p>
            <w:pPr>
              <w:spacing w:after="0"/>
            </w:pPr>
            <w:r>
              <w:rPr>
                <w:rFonts w:ascii="Arial" w:hAnsi="Arial"/>
                <w:color w:val="18212B"/>
                <w:sz w:val="19"/>
              </w:rPr>
              <w:t>Ce matériel pédagogique ne constitue ni un conseil juridique ni une opinion d’assurance et ne remplace pas la lecture des normes officielles en vigueur, de la législation applicable et des règles des régulateurs. Les formulations et scénarios illustratifs doivent être adaptés aux faits propres à l’entité.</w:t>
            </w:r>
          </w:p>
        </w:tc>
      </w:tr>
    </w:tbl>
    <w:p>
      <w:pPr>
        <w:spacing w:after="20"/>
      </w:pPr>
    </w:p>
    <w:sectPr w:rsidR="00FC693F" w:rsidRPr="0006063C" w:rsidSect="00034616">
      <w:headerReference w:type="default" r:id="rId9"/>
      <w:footerReference w:type="default" r:id="rId10"/>
      <w:pgSz w:w="11906" w:h="16838"/>
      <w:pgMar w:top="964" w:right="992" w:bottom="964" w:left="992"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9636E"/>
        <w:sz w:val="16"/>
      </w:rPr>
      <w:t xml:space="preserve">Le jeu est un jeu de mots. 2 Août 2026  |  </w:t>
    </w:r>
    <w:r>
      <w:rPr>
        <w:rFonts w:ascii="Arial" w:hAnsi="Arial"/>
        <w:color w:val="59636E"/>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pPr>
    <w:r>
      <w:rPr>
        <w:rFonts w:ascii="Arial" w:hAnsi="Arial"/>
        <w:b/>
        <w:color w:val="0D3068"/>
        <w:sz w:val="16"/>
      </w:rPr>
      <w:t>LONDON REPORTING ACADEMY  ·  CENTRE DE CONNAISSANCES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Report Template - Editable Drafting Tool</dc:title>
  <dc:subject/>
  <dc:creator>London Reporting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