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trHeight w:val="4706" w:hRule="atLeast"/>
        </w:trPr>
        <w:tc>
          <w:tcPr>
            <w:tcW w:type="dxa" w:w="10036"/>
            <w:shd w:fill="173F65"/>
            <w:tcMar>
              <w:top w:w="420" w:type="dxa"/>
              <w:start w:w="420" w:type="dxa"/>
              <w:bottom w:w="380" w:type="dxa"/>
              <w:end w:w="420" w:type="dxa"/>
            </w:tcMar>
          </w:tcPr>
          <w:p>
            <w:pPr>
              <w:spacing w:before="0" w:after="160"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800000" cy="387624"/>
                  <wp:docPr id="1" name="Picture 1" descr="London Reporting Academy logo" title="London Reporting Academy log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RA_logo_white_panel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38762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320" w:after="160" w:line="240" w:lineRule="auto"/>
            </w:pPr>
            <w:r>
              <w:rPr>
                <w:rFonts w:ascii="Lato" w:hAnsi="Lato" w:eastAsia="Lato"/>
                <w:b/>
                <w:color w:val="FFFFFF"/>
                <w:sz w:val="50"/>
              </w:rPr>
              <w:t>UK SRS S2 Modello di comunicazione del rapporto annuale</w:t>
            </w:r>
          </w:p>
          <w:p>
            <w:pPr>
              <w:spacing w:before="100" w:after="0" w:line="259" w:lineRule="auto"/>
            </w:pPr>
            <w:r>
              <w:rPr>
                <w:rFonts w:ascii="Lato" w:hAnsi="Lato" w:eastAsia="Lato"/>
                <w:color w:val="DCE9F5"/>
                <w:sz w:val="26"/>
              </w:rPr>
              <w:t>Struttura ed elaborazione di istruzioni per la base della preparazione, quattro pilastri, scenari, GHG, effetti finanziari, giudizi, disposizioni, riferimenti incrociati e approvazione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18"/>
        <w:gridCol w:w="5018"/>
      </w:tblGrid>
      <w:tr>
        <w:tc>
          <w:tcPr>
            <w:tcW w:type="dxa" w:w="2381"/>
            <w:shd w:fill="EAF1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b/>
                <w:color w:val="173F65"/>
                <w:sz w:val="18"/>
              </w:rPr>
              <w:t>Articolo ID</w:t>
            </w:r>
          </w:p>
        </w:tc>
        <w:tc>
          <w:tcPr>
            <w:tcW w:type="dxa" w:w="7427"/>
            <w:shd w:fill="FFFFF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color w:val="26384A"/>
                <w:sz w:val="18"/>
              </w:rPr>
              <w:t>UKSRS-S2-TPL-001</w:t>
            </w:r>
          </w:p>
        </w:tc>
      </w:tr>
      <w:tr>
        <w:tc>
          <w:tcPr>
            <w:tcW w:type="dxa" w:w="2381"/>
            <w:shd w:fill="DDEB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b/>
                <w:color w:val="173F65"/>
                <w:sz w:val="18"/>
              </w:rPr>
              <w:t>Tipo di pubblicazione</w:t>
            </w:r>
          </w:p>
        </w:tc>
        <w:tc>
          <w:tcPr>
            <w:tcW w:type="dxa" w:w="7427"/>
            <w:shd w:fill="F3F5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color w:val="26384A"/>
                <w:sz w:val="18"/>
              </w:rPr>
              <w:t>Modello di relazione pratica</w:t>
            </w:r>
          </w:p>
        </w:tc>
      </w:tr>
      <w:tr>
        <w:tc>
          <w:tcPr>
            <w:tcW w:type="dxa" w:w="2381"/>
            <w:shd w:fill="EAF1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b/>
                <w:color w:val="173F65"/>
                <w:sz w:val="18"/>
              </w:rPr>
              <w:t>Pubblico primario</w:t>
            </w:r>
          </w:p>
        </w:tc>
        <w:tc>
          <w:tcPr>
            <w:tcW w:type="dxa" w:w="7427"/>
            <w:shd w:fill="FFFFF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color w:val="26384A"/>
                <w:sz w:val="18"/>
              </w:rPr>
              <w:t>UK team di relazione annuale, finanza, sostenibilità, rischio e segreteria aziendale</w:t>
            </w:r>
          </w:p>
        </w:tc>
      </w:tr>
      <w:tr>
        <w:tc>
          <w:tcPr>
            <w:tcW w:type="dxa" w:w="2381"/>
            <w:shd w:fill="DDEB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b/>
                <w:color w:val="173F65"/>
                <w:sz w:val="18"/>
              </w:rPr>
              <w:t>Giurisdizione</w:t>
            </w:r>
          </w:p>
        </w:tc>
        <w:tc>
          <w:tcPr>
            <w:tcW w:type="dxa" w:w="7427"/>
            <w:shd w:fill="F3F5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color w:val="26384A"/>
                <w:sz w:val="18"/>
              </w:rPr>
              <w:t>Regno Unito</w:t>
            </w:r>
          </w:p>
        </w:tc>
      </w:tr>
      <w:tr>
        <w:tc>
          <w:tcPr>
            <w:tcW w:type="dxa" w:w="2381"/>
            <w:shd w:fill="EAF1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b/>
                <w:color w:val="173F65"/>
                <w:sz w:val="18"/>
              </w:rPr>
              <w:t>Sottovisione tecnica</w:t>
            </w:r>
          </w:p>
        </w:tc>
        <w:tc>
          <w:tcPr>
            <w:tcW w:type="dxa" w:w="7427"/>
            <w:shd w:fill="FFFFF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color w:val="26384A"/>
                <w:sz w:val="18"/>
              </w:rPr>
              <w:t>3 Agosto 2026</w:t>
            </w:r>
          </w:p>
        </w:tc>
      </w:tr>
      <w:tr>
        <w:tc>
          <w:tcPr>
            <w:tcW w:type="dxa" w:w="2381"/>
            <w:shd w:fill="DDEB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b/>
                <w:color w:val="173F65"/>
                <w:sz w:val="18"/>
              </w:rPr>
              <w:t>Statuto della segnalazione</w:t>
            </w:r>
          </w:p>
        </w:tc>
        <w:tc>
          <w:tcPr>
            <w:tcW w:type="dxa" w:w="7427"/>
            <w:shd w:fill="F3F5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color w:val="26384A"/>
                <w:sz w:val="18"/>
              </w:rPr>
              <w:t>Modello illustrativo di implementazione. Adaptato alla versione finale UK SRS, legge/regolamento applicabile e fatti specifici per entità.</w:t>
            </w:r>
          </w:p>
        </w:tc>
      </w:tr>
    </w:tbl>
    <w:p>
      <w:pPr>
        <w:spacing w:before="240" w:after="0" w:line="252" w:lineRule="auto"/>
        <w:jc w:val="center"/>
      </w:pPr>
      <w:r>
        <w:rPr>
          <w:rFonts w:ascii="Lato" w:hAnsi="Lato" w:eastAsia="Lato"/>
          <w:i/>
          <w:color w:val="667788"/>
          <w:sz w:val="16"/>
        </w:rPr>
        <w:t>Guida didattica per professionisti. Non costituisce consulenza legale né di assurance. Prima di agire, verificare il testo vigente degli UK SRS, le regole di rendicontazione applicabili e i fatti specifici dell’entità.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c>
          <w:tcPr>
            <w:tcW w:type="dxa" w:w="10036"/>
            <w:shd w:fill="EAF1F7"/>
            <w:tcMar>
              <w:top w:w="180" w:type="dxa"/>
              <w:start w:w="200" w:type="dxa"/>
              <w:bottom w:w="160" w:type="dxa"/>
              <w:end w:w="200" w:type="dxa"/>
            </w:tcMar>
            <w:tcBorders>
              <w:top w:val="single" w:sz="4" w:color="C8D2DC"/>
              <w:left w:val="single" w:sz="24" w:color="2A6F97"/>
              <w:bottom w:val="single" w:sz="4" w:color="C8D2DC"/>
              <w:right w:val="single" w:sz="4" w:color="C8D2DC"/>
            </w:tcBorders>
          </w:tcPr>
          <w:p>
            <w:pPr>
              <w:spacing w:before="0" w:after="100" w:line="240" w:lineRule="auto"/>
            </w:pPr>
            <w:r>
              <w:rPr>
                <w:rFonts w:ascii="Lato" w:hAnsi="Lato" w:eastAsia="Lato"/>
                <w:b/>
                <w:color w:val="173F65"/>
                <w:sz w:val="20"/>
              </w:rPr>
              <w:t>Come usare questo tempio</w:t>
            </w:r>
          </w:p>
          <w:p>
            <w:pPr>
              <w:spacing w:before="0" w:after="60" w:line="269" w:lineRule="auto"/>
            </w:pPr>
            <w:r>
              <w:rPr>
                <w:rFonts w:ascii="Lato" w:hAnsi="Lato" w:eastAsia="Lato"/>
                <w:b/>
                <w:color w:val="26384A"/>
                <w:sz w:val="22"/>
              </w:rPr>
              <w:t>sostituire ogni prompt in parentesi con informazioni specifiche per l'entità e supportate da prove. cancellare le linee guida di redazione non applicabili solo dopo che la decisione di applicabilità o materialità è documentata nella matrice di divulgazione. Non trattare il modello come un modello ufficiale o una dichiarazione di conformità.</w:t>
            </w:r>
          </w:p>
          <w:p>
            <w:pPr>
              <w:spacing w:before="40" w:after="0" w:line="254" w:lineRule="auto"/>
            </w:pPr>
            <w:r>
              <w:rPr>
                <w:rFonts w:ascii="Lato" w:hAnsi="Lato" w:eastAsia="Lato"/>
                <w:i/>
                <w:color w:val="667788"/>
                <w:sz w:val="17"/>
              </w:rPr>
              <w:t>Utilizzare insieme alla UK SRS S2 Climate Disclosure Matrix e un pacchetto di fonti ufficiali attuali.</w:t>
            </w:r>
          </w:p>
        </w:tc>
      </w:tr>
    </w:tbl>
    <w:p>
      <w:pPr>
        <w:spacing w:after="0"/>
      </w:pPr>
    </w:p>
    <w:p>
      <w:pPr>
        <w:pStyle w:val="Heading1"/>
      </w:pPr>
      <w:r>
        <w:t>Controllo dei documenti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18"/>
        <w:gridCol w:w="5018"/>
      </w:tblGrid>
      <w:tr>
        <w:trPr>
          <w:tblHeader w:val="true"/>
        </w:trPr>
        <w:tc>
          <w:tcPr>
            <w:tcW w:type="dxa" w:w="2948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Campo di lavoro</w:t>
            </w:r>
          </w:p>
        </w:tc>
        <w:tc>
          <w:tcPr>
            <w:tcW w:type="dxa" w:w="6860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Introduzione controllata</w:t>
            </w:r>
          </w:p>
        </w:tc>
      </w:tr>
      <w:tr>
        <w:tc>
          <w:tcPr>
            <w:tcW w:type="dxa" w:w="2948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Entità</w:t>
            </w:r>
          </w:p>
        </w:tc>
        <w:tc>
          <w:tcPr>
            <w:tcW w:type="dxa" w:w="686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 LEGALE / CONSOLIDATTA ENTITÀ DI RAPORTATO]</w:t>
            </w:r>
          </w:p>
        </w:tc>
      </w:tr>
      <w:tr>
        <w:tc>
          <w:tcPr>
            <w:tcW w:type="dxa" w:w="2948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Periodo di riferimento</w:t>
            </w:r>
          </w:p>
        </w:tc>
        <w:tc>
          <w:tcPr>
            <w:tcW w:type="dxa" w:w="686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 PERIOD]</w:t>
            </w:r>
          </w:p>
        </w:tc>
      </w:tr>
      <w:tr>
        <w:tc>
          <w:tcPr>
            <w:tcW w:type="dxa" w:w="2948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Localizzazione della relazione annuale</w:t>
            </w:r>
          </w:p>
        </w:tc>
        <w:tc>
          <w:tcPr>
            <w:tcW w:type="dxa" w:w="686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[INSERTA RAPORT STATEGICO / ALTRO PROPOSITO GENERALE RAPORTO FINANZIARIO LUCATO]</w:t>
            </w:r>
          </w:p>
        </w:tc>
      </w:tr>
      <w:tr>
        <w:tc>
          <w:tcPr>
            <w:tcW w:type="dxa" w:w="2948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UK Statuto della segnalazione SRS</w:t>
            </w:r>
          </w:p>
        </w:tc>
        <w:tc>
          <w:tcPr>
            <w:tcW w:type="dxa" w:w="686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[RUTTO di BINDING Voluntario / CURRENTE CONFERMA]</w:t>
            </w:r>
          </w:p>
        </w:tc>
      </w:tr>
      <w:tr>
        <w:tc>
          <w:tcPr>
            <w:tcW w:type="dxa" w:w="2948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UK Richiesta di SRS</w:t>
            </w:r>
          </w:p>
        </w:tc>
        <w:tc>
          <w:tcPr>
            <w:tcW w:type="dxa" w:w="686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[DRAFT CLAIM SUBJECT TO FINAL MATRICS E APROVATION]</w:t>
            </w:r>
          </w:p>
        </w:tc>
      </w:tr>
      <w:tr>
        <w:tc>
          <w:tcPr>
            <w:tcW w:type="dxa" w:w="2948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Preparazione da parte di:</w:t>
            </w:r>
          </w:p>
        </w:tc>
        <w:tc>
          <w:tcPr>
            <w:tcW w:type="dxa" w:w="686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[NAME / ROLE]</w:t>
            </w:r>
          </w:p>
        </w:tc>
      </w:tr>
      <w:tr>
        <w:tc>
          <w:tcPr>
            <w:tcW w:type="dxa" w:w="2948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Revisore tecnico</w:t>
            </w:r>
          </w:p>
        </w:tc>
        <w:tc>
          <w:tcPr>
            <w:tcW w:type="dxa" w:w="686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[NAME / ROLE]</w:t>
            </w:r>
          </w:p>
        </w:tc>
      </w:tr>
      <w:tr>
        <w:tc>
          <w:tcPr>
            <w:tcW w:type="dxa" w:w="2948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Accettazione del CFO</w:t>
            </w:r>
          </w:p>
        </w:tc>
        <w:tc>
          <w:tcPr>
            <w:tcW w:type="dxa" w:w="686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[DATE / STATUS]</w:t>
            </w:r>
          </w:p>
        </w:tc>
      </w:tr>
      <w:tr>
        <w:tc>
          <w:tcPr>
            <w:tcW w:type="dxa" w:w="2948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Comitato di revisione contabile</w:t>
            </w:r>
          </w:p>
        </w:tc>
        <w:tc>
          <w:tcPr>
            <w:tcW w:type="dxa" w:w="686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[DATE / STATUS]</w:t>
            </w:r>
          </w:p>
        </w:tc>
      </w:tr>
      <w:tr>
        <w:tc>
          <w:tcPr>
            <w:tcW w:type="dxa" w:w="2948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Accettazione del consiglio di amministrazione</w:t>
            </w:r>
          </w:p>
        </w:tc>
        <w:tc>
          <w:tcPr>
            <w:tcW w:type="dxa" w:w="686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[DATE / STATUS]</w:t>
            </w:r>
          </w:p>
        </w:tc>
      </w:tr>
      <w:tr>
        <w:tc>
          <w:tcPr>
            <w:tcW w:type="dxa" w:w="2948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Versione e data di uscita</w:t>
            </w:r>
          </w:p>
        </w:tc>
        <w:tc>
          <w:tcPr>
            <w:tcW w:type="dxa" w:w="686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[VERSION / DATE / ARCHIVE LOCATION]</w:t>
            </w:r>
          </w:p>
        </w:tc>
      </w:tr>
    </w:tbl>
    <w:p>
      <w:pPr>
        <w:spacing w:after="0"/>
      </w:pPr>
    </w:p>
    <w:p>
      <w:pPr>
        <w:pStyle w:val="Heading1"/>
      </w:pPr>
      <w:r>
        <w:t>Contenuti suggeriti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3345"/>
        <w:gridCol w:w="3345"/>
        <w:gridCol w:w="3345"/>
      </w:tblGrid>
      <w:tr>
        <w:trPr>
          <w:tblHeader w:val="true"/>
        </w:trPr>
        <w:tc>
          <w:tcPr>
            <w:tcW w:type="dxa" w:w="567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#</w:t>
            </w:r>
          </w:p>
        </w:tc>
        <w:tc>
          <w:tcPr>
            <w:tcW w:type="dxa" w:w="6520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Sezione</w:t>
            </w:r>
          </w:p>
        </w:tc>
        <w:tc>
          <w:tcPr>
            <w:tcW w:type="dxa" w:w="2721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Località di lavoro / pagine</w:t>
            </w:r>
          </w:p>
        </w:tc>
      </w:tr>
      <w:tr>
        <w:tc>
          <w:tcPr>
            <w:tcW w:type="dxa" w:w="567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1</w:t>
            </w:r>
          </w:p>
        </w:tc>
        <w:tc>
          <w:tcPr>
            <w:tcW w:type="dxa" w:w="652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Base di preparazione e dichiarazione di conformità</w:t>
            </w:r>
          </w:p>
        </w:tc>
        <w:tc>
          <w:tcPr>
            <w:tcW w:type="dxa" w:w="272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2</w:t>
            </w:r>
          </w:p>
        </w:tc>
        <w:tc>
          <w:tcPr>
            <w:tcW w:type="dxa" w:w="652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Governance</w:t>
            </w:r>
          </w:p>
        </w:tc>
        <w:tc>
          <w:tcPr>
            <w:tcW w:type="dxa" w:w="272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3</w:t>
            </w:r>
          </w:p>
        </w:tc>
        <w:tc>
          <w:tcPr>
            <w:tcW w:type="dxa" w:w="652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Rischi e opportunità legati al clima</w:t>
            </w:r>
          </w:p>
        </w:tc>
        <w:tc>
          <w:tcPr>
            <w:tcW w:type="dxa" w:w="272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4</w:t>
            </w:r>
          </w:p>
        </w:tc>
        <w:tc>
          <w:tcPr>
            <w:tcW w:type="dxa" w:w="652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Strategia, attività e risorse di transizione</w:t>
            </w:r>
          </w:p>
        </w:tc>
        <w:tc>
          <w:tcPr>
            <w:tcW w:type="dxa" w:w="272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5</w:t>
            </w:r>
          </w:p>
        </w:tc>
        <w:tc>
          <w:tcPr>
            <w:tcW w:type="dxa" w:w="652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Analisi di scenari e resilienza al clima</w:t>
            </w:r>
          </w:p>
        </w:tc>
        <w:tc>
          <w:tcPr>
            <w:tcW w:type="dxa" w:w="272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6</w:t>
            </w:r>
          </w:p>
        </w:tc>
        <w:tc>
          <w:tcPr>
            <w:tcW w:type="dxa" w:w="652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Effetti finanziari correnti e previsti</w:t>
            </w:r>
          </w:p>
        </w:tc>
        <w:tc>
          <w:tcPr>
            <w:tcW w:type="dxa" w:w="272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7</w:t>
            </w:r>
          </w:p>
        </w:tc>
        <w:tc>
          <w:tcPr>
            <w:tcW w:type="dxa" w:w="652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Gestione dei rischi</w:t>
            </w:r>
          </w:p>
        </w:tc>
        <w:tc>
          <w:tcPr>
            <w:tcW w:type="dxa" w:w="272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8</w:t>
            </w:r>
          </w:p>
        </w:tc>
        <w:tc>
          <w:tcPr>
            <w:tcW w:type="dxa" w:w="652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Metrici e obiettivi per il clima</w:t>
            </w:r>
          </w:p>
        </w:tc>
        <w:tc>
          <w:tcPr>
            <w:tcW w:type="dxa" w:w="272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9</w:t>
            </w:r>
          </w:p>
        </w:tc>
        <w:tc>
          <w:tcPr>
            <w:tcW w:type="dxa" w:w="652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GHG emissioni e emissioni finanziate</w:t>
            </w:r>
          </w:p>
        </w:tc>
        <w:tc>
          <w:tcPr>
            <w:tcW w:type="dxa" w:w="272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10</w:t>
            </w:r>
          </w:p>
        </w:tc>
        <w:tc>
          <w:tcPr>
            <w:tcW w:type="dxa" w:w="652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Ragioni, stime, disposizioni e modifiche</w:t>
            </w:r>
          </w:p>
        </w:tc>
        <w:tc>
          <w:tcPr>
            <w:tcW w:type="dxa" w:w="272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11</w:t>
            </w:r>
          </w:p>
        </w:tc>
        <w:tc>
          <w:tcPr>
            <w:tcW w:type="dxa" w:w="652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Indice di divulgazione e riferimenti incrociati</w:t>
            </w:r>
          </w:p>
        </w:tc>
        <w:tc>
          <w:tcPr>
            <w:tcW w:type="dxa" w:w="272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</w:tbl>
    <w:p>
      <w:pPr>
        <w:spacing w:after="0"/>
      </w:pPr>
    </w:p>
    <w:p>
      <w:pPr>
        <w:pStyle w:val="Heading1"/>
      </w:pPr>
      <w:r>
        <w:t>1- Basi della preparazione e dichiarazione di conformità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Spiegare quale rapporto è stato redatto, per quale entità e periodo, come sono state selezionate le informazioni rilevanti, dove si trovano le informazioni e quali. UK le disposizioni o le modalità di segnalazione riguardano la domanda.</w:t>
            </w:r>
          </w:p>
        </w:tc>
      </w:tr>
    </w:tbl>
    <w:p>
      <w:pPr>
        <w:spacing w:after="0"/>
      </w:pPr>
    </w:p>
    <w:p>
      <w:pPr>
        <w:pStyle w:val="Heading2"/>
      </w:pPr>
      <w:r>
        <w:t>1.1 Base di segnalazione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entità segnalante; stessa entità dei conti finanziari; periodo di riferimento; valuta e unità se del caso; se le informazioni sono consolidate; acquisizioni/disposizioni materiali; distinzioni di confini specifiche per il clima.]</w:t>
      </w:r>
    </w:p>
    <w:p>
      <w:pPr>
        <w:pStyle w:val="Heading2"/>
      </w:pPr>
      <w:r>
        <w:t>1.2 Materialità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come sono stati identificati rischi e opportunità rilevanti legati al clima per gli utenti primari; natura e ampiezza; fonti; governance; cambiamenti da una valutazione precedente.]</w:t>
      </w:r>
    </w:p>
    <w:p>
      <w:pPr>
        <w:pStyle w:val="Heading2"/>
      </w:pPr>
      <w:r>
        <w:t>1.3 Fonti e industrie utilizzate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[INSERTA: UK Fonti SRS; settori e orientamenti effettivamente applicati; metriche sviluppate dall'entità; versioni sorgenti.]</w:t>
      </w:r>
    </w:p>
    <w:p>
      <w:pPr>
        <w:pStyle w:val="Heading2"/>
      </w:pPr>
      <w:r>
        <w:t>1.4 Localizzazione e riferimenti incrociati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localizzazione della relazione annuale; politica di incorporazione per riferimento; documenti/pagine di riferimento esatti; disponibilità contemporanea e controlli di archivio.]</w:t>
      </w:r>
    </w:p>
    <w:p>
      <w:pPr>
        <w:pStyle w:val="Heading2"/>
      </w:pPr>
      <w:r>
        <w:t>1.5 Disposizioni e dichiarazione di conformità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esatto] UK SRS E3/C3/C4 o altra disposizione utilizzata; condizione; informazioni interessate; effetto comparativo; restrizione di percorso di vincolo; effetto su UK SRS S1/S2 e qualsiasi altro IFRS rivendicazione.]</w:t>
      </w:r>
    </w:p>
    <w:p>
      <w:pPr>
        <w:pStyle w:val="Heading2"/>
      </w:pPr>
      <w:r>
        <w:t>Prove e indicazioni di controllo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Entità segnalante conciliata ai bilanci finanziari.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- Richiesta di materialità approvata.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Richiesta di fonte e industria completa.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Referenze incrociate testate al rilascio.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Accordo di fornitura e richiesta approvato.</w:t>
      </w:r>
    </w:p>
    <w:p>
      <w:pPr>
        <w:pStyle w:val="Heading1"/>
      </w:pPr>
      <w:r>
        <w:t>2- Governance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Descrivere i processi di vigilanza e gestione effettivi, non solo la struttura di governance.</w:t>
            </w:r>
          </w:p>
        </w:tc>
      </w:tr>
    </w:tbl>
    <w:p>
      <w:pPr>
        <w:spacing w:after="0"/>
      </w:pPr>
    </w:p>
    <w:p>
      <w:pPr>
        <w:pStyle w:val="Heading2"/>
      </w:pPr>
      <w:r>
        <w:t>2.1 Supervisione da parte dell'organo di governance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mandato del consiglio/comitato; responsabilità; informazione e frequenza; competenze; decisioni di strategia e transazione; monitoraggio degli obiettivi; decisioni durante il periodo; modifiche.]</w:t>
      </w:r>
    </w:p>
    <w:p>
      <w:pPr>
        <w:pStyle w:val="Heading2"/>
      </w:pPr>
      <w:r>
        <w:t>2.2 Ruoli e controlli di gestione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ruoli di gestione nominati; linee di comunicazione; responsabilità dei dati e del controllo; escalation; comitati interni; rappresentanze della direzione.]</w:t>
      </w:r>
    </w:p>
    <w:p>
      <w:pPr>
        <w:pStyle w:val="Heading2"/>
      </w:pPr>
      <w:r>
        <w:t>2.3 Remunerazione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se e come le considerazioni climatiche entrano nella remunerazione; popolazione; metrica; ponderazione; risultato; approvazione della governance.]</w:t>
      </w:r>
    </w:p>
    <w:p>
      <w:pPr>
        <w:pStyle w:val="Heading2"/>
      </w:pPr>
      <w:r>
        <w:t>Prove e indicazioni di controllo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Mandati e termini della commissione in vigore.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Documenti e atti del consiglio sostengono le richieste.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Le descrizioni del ruolo di gestione corrispondono all'operazione effettiva.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Risoluzione e approvazione dei dati sulle retribuzioni.</w:t>
      </w:r>
    </w:p>
    <w:p>
      <w:pPr>
        <w:pStyle w:val="Heading1"/>
      </w:pPr>
      <w:r>
        <w:t>3Rischi e opportunità legati al clima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Identificare i rischi fisici e di transizione materiali e le opportunità climatiche, gli orizzonti temporali, le concentrazioni e le vie di trasmissione.</w:t>
            </w:r>
          </w:p>
        </w:tc>
      </w:tr>
    </w:tbl>
    <w:p>
      <w:pPr>
        <w:spacing w:after="0"/>
      </w:pPr>
    </w:p>
    <w:p>
      <w:pPr>
        <w:pStyle w:val="Heading2"/>
      </w:pPr>
      <w:r>
        <w:t>3.1 Orizzonti temporali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orizzonti a breve, medio e lungo termine datati e relazione ai cicli di pianificazione, alla vita degli asset e alle decisioni strategiche.]</w:t>
      </w:r>
    </w:p>
    <w:p>
      <w:pPr>
        <w:pStyle w:val="Heading2"/>
      </w:pPr>
      <w:r>
        <w:t>3.2 Tabella delle materie materiali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[TABELLA DI INSERTA: ID; rischio/opportunità; fisico/transizione/opportunità, orizzonte temporale; geografia/attività/catena di valore; probabilità/magnitude; percorso finanziario; proprietario; indicatore di monitoraggio.]</w:t>
      </w:r>
    </w:p>
    <w:p>
      <w:pPr>
        <w:pStyle w:val="Heading2"/>
      </w:pPr>
      <w:r>
        <w:t>3.3 Modifiche rispetto al periodo precedente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nuovi, modificati, ri-prioritizzati o rimossi.]</w:t>
      </w:r>
    </w:p>
    <w:p>
      <w:pPr>
        <w:pStyle w:val="Heading2"/>
      </w:pPr>
      <w:r>
        <w:t>Prove e indicazioni di controllo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Il registro dei rischi e delle opportunità è completo.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La logica della materialità è conservata.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Concentrazioni e collegamenti della catena del valore testati.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- Le vie finanziarie tracciate.</w:t>
      </w:r>
    </w:p>
    <w:p>
      <w:pPr>
        <w:pStyle w:val="Heading1"/>
      </w:pPr>
      <w:r>
        <w:t>4- strategia, attività e risorse di transizione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Spiegare come le questioni climatiche sostanziali influenzino il modello di business, la catena del valore, il processo decisionale e l'allocazione delle risorse.</w:t>
            </w:r>
          </w:p>
        </w:tc>
      </w:tr>
    </w:tbl>
    <w:p>
      <w:pPr>
        <w:spacing w:after="0"/>
      </w:pPr>
    </w:p>
    <w:p>
      <w:pPr>
        <w:pStyle w:val="Heading2"/>
      </w:pPr>
      <w:r>
        <w:t>4.1 Modello di business e effetti della catena del valore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prodotti, servizi, attività, mercati, fornitori, clienti, finanziamenti e dipendenze interessati.]</w:t>
      </w:r>
    </w:p>
    <w:p>
      <w:pPr>
        <w:pStyle w:val="Heading2"/>
      </w:pPr>
      <w:r>
        <w:t>4.2 Risposta strategica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azioni, compromessi, mitigazione diretta/indiretta, adattamento, opportunità, modifiche alla strategia e al progresso.]</w:t>
      </w:r>
    </w:p>
    <w:p>
      <w:pPr>
        <w:pStyle w:val="Heading2"/>
      </w:pPr>
      <w:r>
        <w:t>4.3 Piano di transizione dove esiste uno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stato del piano, obiettivo, obiettivi, azioni, risorse, ipotesi, dipendenze, governance e progressi. Indicare chiaramente se non esiste un piano formale.]</w:t>
      </w:r>
    </w:p>
    <w:p>
      <w:pPr>
        <w:pStyle w:val="Heading2"/>
      </w:pPr>
      <w:r>
        <w:t>4.4 Risorse e utilizzo del capitale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capex/opex speso, impegnato, approvato, pianificato e aspirazionale; fonte di finanziamento; periodo; condizioni; dipendenze.]</w:t>
      </w:r>
    </w:p>
    <w:p>
      <w:pPr>
        <w:pStyle w:val="Heading2"/>
      </w:pPr>
      <w:r>
        <w:t>Prove e indicazioni di controllo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Azioni e risorse conciliate per finanziare i piani.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Le richieste del piano di transizione corrispondono al piano approvato.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Le dipendenze e le condizionalità sono visibili.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Il progresso include ritardi e cambiamenti.</w:t>
      </w:r>
    </w:p>
    <w:p>
      <w:pPr>
        <w:pStyle w:val="Heading1"/>
      </w:pPr>
      <w:r>
        <w:t>5- analisi di scenari e resilienza climatica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Spiegare un metodo di scenario proporzionato e una valutazione equilibrata della vulnerabilità e della capacità di adattamento.</w:t>
            </w:r>
          </w:p>
        </w:tc>
      </w:tr>
    </w:tbl>
    <w:p>
      <w:pPr>
        <w:spacing w:after="0"/>
      </w:pPr>
    </w:p>
    <w:p>
      <w:pPr>
        <w:pStyle w:val="Heading2"/>
      </w:pPr>
      <w:r>
        <w:t>5.1 Metodo e portata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scopo; rischi/opportunità materiali; fonti/versioni di scenari; percorsi fisici e di transizione; aree geografiche/asset/portfolio; orizzonti temporali; metodo qualitativo/quantitativo.]</w:t>
      </w:r>
    </w:p>
    <w:p>
      <w:pPr>
        <w:pStyle w:val="Heading2"/>
      </w:pPr>
      <w:r>
        <w:t>5.2 Presupposti e limitazioni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temperatura, politica, tecnologia, domanda, prezzo, rischio, ipotesi finanziarie; esclusioni; limitazioni dei dati; incertezza del modello.]</w:t>
      </w:r>
    </w:p>
    <w:p>
      <w:pPr>
        <w:pStyle w:val="Heading2"/>
      </w:pPr>
      <w:r>
        <w:t>5.3 Risultati e utilizzo delle decisioni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vulnerabilità, sensibilità, opportunità, soglie, strategie/captex/rischi e decisioni e modifiche.]</w:t>
      </w:r>
    </w:p>
    <w:p>
      <w:pPr>
        <w:pStyle w:val="Heading2"/>
      </w:pPr>
      <w:r>
        <w:t>5.4 Capacità di adattamento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opzioni strategiche; flessibilità degli asset; capacità finanziaria; finanziamento; tempi di sperimentazione; dipendenze; fattori decisionali; esposizione residua; incertezza.]</w:t>
      </w:r>
    </w:p>
    <w:p>
      <w:pPr>
        <w:pStyle w:val="Heading2"/>
      </w:pPr>
      <w:r>
        <w:t>Prove e indicazioni di controllo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Scenario fonte e versione controllata.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Presupposti conciliati con la pianificazione finanziaria.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La sfida alla governance è stata registrata.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La formulazione di resilienza evita certezza non sostenuta.</w:t>
      </w:r>
    </w:p>
    <w:p>
      <w:pPr>
        <w:pStyle w:val="Heading1"/>
      </w:pPr>
      <w:r>
        <w:t>6Effetti finanziari attuali e previsti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Collegare ogni materia importante del clima con gli effetti attuali e previsti sulla situazione finanziaria, sulle prestazioni e sui flussi di cassa.</w:t>
            </w:r>
          </w:p>
        </w:tc>
      </w:tr>
    </w:tbl>
    <w:p>
      <w:pPr>
        <w:spacing w:after="0"/>
      </w:pPr>
    </w:p>
    <w:p>
      <w:pPr>
        <w:pStyle w:val="Heading2"/>
      </w:pPr>
      <w:r>
        <w:t>6.1 Ponte finanziaria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[TABELLA INSERTATIVA: materia climatica; corrente/anticipata; entrate; costi; attività; passività; flussi di cassa; finanziamento; capes; orizzonte temporale; importo/intervallo/qualitativo; ipotesi; voci della linea di bilancio interessata.]</w:t>
      </w:r>
    </w:p>
    <w:p>
      <w:pPr>
        <w:pStyle w:val="Heading2"/>
      </w:pPr>
      <w:r>
        <w:t>6.2 Trattamento quantitativo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importi singoli, intervalli o percentuali; definizioni di denominatori; informazioni combinate; controlli di doppio conteggio.]</w:t>
      </w:r>
    </w:p>
    <w:p>
      <w:pPr>
        <w:pStyle w:val="Heading2"/>
      </w:pPr>
      <w:r>
        <w:t>6.3 Trattamento o sollievo qualitativo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perché la quantificazione separata non è utile alle condizioni specificate; elementi della linea interessati; sostituire le informazioni qualitative e combinate.]</w:t>
      </w:r>
    </w:p>
    <w:p>
      <w:pPr>
        <w:pStyle w:val="Heading2"/>
      </w:pPr>
      <w:r>
        <w:t>6.4 Consistenza e incertezza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conciliamento con i bilanci finanziari, i bilanci, le previsioni e gli scenari; differenze di base di misurazione; sensibilità; incertezza e limitazioni.]</w:t>
      </w:r>
    </w:p>
    <w:p>
      <w:pPr>
        <w:pStyle w:val="Heading2"/>
      </w:pPr>
      <w:r>
        <w:t>Prove e indicazioni di controllo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La sfida del CFO è completa.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Mapping di line-item conservato.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Quantità/intervalli riproducibili.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Qualsiasi trattamento qualitativo approvato secondo i criteri esatti.</w:t>
      </w:r>
    </w:p>
    <w:p>
      <w:pPr>
        <w:pStyle w:val="Heading1"/>
      </w:pPr>
      <w:r>
        <w:t>7- Gestione dei rischi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Descrivere i processi specifici per il clima e le prove dell'integrazione nella gestione globale dei rischi.</w:t>
            </w:r>
          </w:p>
        </w:tc>
      </w:tr>
    </w:tbl>
    <w:p>
      <w:pPr>
        <w:spacing w:after="0"/>
      </w:pPr>
    </w:p>
    <w:p>
      <w:pPr>
        <w:pStyle w:val="Heading2"/>
      </w:pPr>
      <w:r>
        <w:t>7.1 Identificazione e valutazione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processo, input, fonti di dati, utilizzo dello scenario, probabilità/magnitude, vulnerabilità e valutazione delle opportunità.]</w:t>
      </w:r>
    </w:p>
    <w:p>
      <w:pPr>
        <w:pStyle w:val="Heading2"/>
      </w:pPr>
      <w:r>
        <w:t>7.2 Priorità e monitoraggio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soglie, appetito al rischio, confronto con altri rischi, proprietari, indicatori, fattori di scatto e escalation.]</w:t>
      </w:r>
    </w:p>
    <w:p>
      <w:pPr>
        <w:pStyle w:val="Heading2"/>
      </w:pPr>
      <w:r>
        <w:t>7.3 Integrazione e cambiamenti del MER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tassonomia/sistema comune; flusso di comitati; decisioni; modifiche rispetto al periodo precedente; differenze tra i processi di rischio e opportunità.]</w:t>
      </w:r>
    </w:p>
    <w:p>
      <w:pPr>
        <w:pStyle w:val="Heading2"/>
      </w:pPr>
      <w:r>
        <w:t>Prove e indicazioni di controllo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I registri del sistema ERM supportano la narrazione.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È evidente la priorità rispetto agli altri rischi.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Il processo di opportunità è controllato.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I cambiamenti sono documentati.</w:t>
      </w:r>
    </w:p>
    <w:p>
      <w:pPr>
        <w:pStyle w:val="Heading1"/>
      </w:pPr>
      <w:r>
        <w:t>8Metrici e obiettivi per il clima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Presentazione di metriche interindustriali, basate su settori e specifiche per entità con metodi, comparativi e prestazioni mirate.</w:t>
            </w:r>
          </w:p>
        </w:tc>
      </w:tr>
    </w:tbl>
    <w:p>
      <w:pPr>
        <w:spacing w:after="0"/>
      </w:pPr>
    </w:p>
    <w:p>
      <w:pPr>
        <w:pStyle w:val="Heading2"/>
      </w:pPr>
      <w:r>
        <w:t>8.1 Tabella di metriche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[INSERTA: GHG; esposizione al rischio di transizione; esposizione al rischi fisico; opportunità; utilizzo del capitale; prezzo interno del carbonio; remunerazione; metriche basate sul settore; metriche specifiche per l'entità.]</w:t>
      </w:r>
    </w:p>
    <w:p>
      <w:pPr>
        <w:pStyle w:val="Heading2"/>
      </w:pPr>
      <w:r>
        <w:t>8.2 Metodi e stime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definizione, unità, formula, limite, periodo, fonte, ipotesi, stime, limitazioni, modifiche e trattamento comparativo.]</w:t>
      </w:r>
    </w:p>
    <w:p>
      <w:pPr>
        <w:pStyle w:val="Heading2"/>
      </w:pPr>
      <w:r>
        <w:t>8.3 Informazioni sul settore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industrie identificate; fonti considerate e utilizzate; metriche selezionate/adattate/sviluppate dall'entità; motivazione per non essere utilizzate.]</w:t>
      </w:r>
    </w:p>
    <w:p>
      <w:pPr>
        <w:pStyle w:val="Heading2"/>
      </w:pPr>
      <w:r>
        <w:t>8.4 Obiettivi e prestazioni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status legale/volontario; obiettivo; metrico; ambito di applicazione; periodo base; periodo obiettivo; tappe miliari; assoluta/intensità; lordo/netto; convalida; revisioni; prestazioni effettive; tappe misse e risposta.]</w:t>
      </w:r>
    </w:p>
    <w:p>
      <w:pPr>
        <w:pStyle w:val="Heading2"/>
      </w:pPr>
      <w:r>
        <w:t>Prove e indicazioni di controllo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Diczionario di dati approvato.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Fonte/industria completa.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I confini degli obiettivi sono stati riconciliati.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Performance e revisioni esaminate in modo indipendente.</w:t>
      </w:r>
    </w:p>
    <w:p>
      <w:pPr>
        <w:pStyle w:val="Heading1"/>
      </w:pPr>
      <w:r>
        <w:t>9. GHG emissioni e emissioni finanziate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Fornire un inventario lordo trasparente e le informazioni applicabili sulle emissioni finanziate senza compensare i crediti di carbonio.</w:t>
            </w:r>
          </w:p>
        </w:tc>
      </w:tr>
    </w:tbl>
    <w:p>
      <w:pPr>
        <w:spacing w:after="0"/>
      </w:pPr>
    </w:p>
    <w:p>
      <w:pPr>
        <w:pStyle w:val="Heading2"/>
      </w:pPr>
      <w:r>
        <w:t>9.1 GHG tavolo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portata totale assoluta 1, portata 2 localizzazione e portata 3; tonnellate CO2e; disaggregazione di gruppo consolidato/altra soggetto di investimento; comparativi.]</w:t>
      </w:r>
    </w:p>
    <w:p>
      <w:pPr>
        <w:pStyle w:val="Heading2"/>
      </w:pPr>
      <w:r>
        <w:t>9.2 Limiti e metodo organizzativi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metodo di consolidamento; trattamento delle controllate, associate, società comuni di partecipazione, contratti di locazione, acquisizioni/disposizioni; metodo giurisdizionale; GHG Uso del protocollo.]</w:t>
      </w:r>
    </w:p>
    <w:p>
      <w:pPr>
        <w:pStyle w:val="Heading2"/>
      </w:pPr>
      <w:r>
        <w:t>9.3 Scopo di applicazione 2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importo basato sulla posizione; strumenti contrattuali; contratti/certificati e prove rinnovabili.]</w:t>
      </w:r>
    </w:p>
    <w:p>
      <w:pPr>
        <w:pStyle w:val="Heading2"/>
      </w:pPr>
      <w:r>
        <w:t>9.4 Scopo di applicazione 3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tutti] 15 categorie considerate; categorie pertinenti; metodo; input; dati primari/secondi; stime; limitazioni; piano di rivalutazione e miglioramento.]</w:t>
      </w:r>
    </w:p>
    <w:p>
      <w:pPr>
        <w:pStyle w:val="Heading2"/>
      </w:pPr>
      <w:r>
        <w:t>9.5 Emissioni finanziate se applicabile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classi di attività, importo, denominatore, copertura, esclusioni, classificazione del settore, metodologia, ipotesi e spiegazione B59A ove utilizzata.]</w:t>
      </w:r>
    </w:p>
    <w:p>
      <w:pPr>
        <w:pStyle w:val="Heading2"/>
      </w:pPr>
      <w:r>
        <w:t>9.6 Crediti di carbonio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dipendenza prevista per gli obiettivi netti; regime, tipo, rimozione/riduzione, attributi di qualità, verifica e stato di pensione. Tenere l'inventario lordo separato.]</w:t>
      </w:r>
    </w:p>
    <w:p>
      <w:pPr>
        <w:pStyle w:val="Heading2"/>
      </w:pPr>
      <w:r>
        <w:t>Prove e indicazioni di controllo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GHG - Il confine è riconciliato.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Fattori e versioni GWP controllate.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Scopo di applicazione 3 Completamento della revisione dell'interesse.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Il calendario delle emissioni finanziate e il B59A approvato.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Inventario lordo non nettato.</w:t>
      </w:r>
    </w:p>
    <w:p>
      <w:pPr>
        <w:pStyle w:val="Heading1"/>
      </w:pPr>
      <w:r>
        <w:t>10- giudizi, stime, disposizioni e modifiche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Rendere visibili le decisioni tecniche significative e l'incertezza.</w:t>
            </w:r>
          </w:p>
        </w:tc>
      </w:tr>
    </w:tbl>
    <w:p>
      <w:pPr>
        <w:spacing w:after="0"/>
      </w:pPr>
    </w:p>
    <w:p>
      <w:pPr>
        <w:pStyle w:val="Heading2"/>
      </w:pPr>
      <w:r>
        <w:t>10.1 Giudizi significativi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materialità, confini, metodo di scenario, fonti del settore, trattamento degli effetti finanziari, decisioni di destinazione e fornitura.]</w:t>
      </w:r>
    </w:p>
    <w:p>
      <w:pPr>
        <w:pStyle w:val="Heading2"/>
      </w:pPr>
      <w:r>
        <w:t>10.2 Incertezza di misurazione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stime di materiale, intervalli, limitazioni del modello, sensibilità, qualità della fonte e miglioramento atteso.]</w:t>
      </w:r>
    </w:p>
    <w:p>
      <w:pPr>
        <w:pStyle w:val="Heading2"/>
      </w:pPr>
      <w:r>
        <w:t>10.3 Modifiche e errori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metodologia, stima, limite, fattore, obiettivo, revisione o errore comparativo; ragione; effetto e approvazione.]</w:t>
      </w:r>
    </w:p>
    <w:p>
      <w:pPr>
        <w:pStyle w:val="Heading2"/>
      </w:pPr>
      <w:r>
        <w:t>10.4 UK disposizioni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[TABELLA DI INSERTA: disposizione; condizione; periodo; informazioni interessate; divulgazione di sostituti; effetto comparativo; effetto pretesa; approvazione.]</w:t>
      </w:r>
    </w:p>
    <w:p>
      <w:pPr>
        <w:pStyle w:val="Heading2"/>
      </w:pPr>
      <w:r>
        <w:t>Prove e indicazioni di controllo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Registri di giudizio e stima conciliati.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Modifiche correttamente classificate.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Uso della disposizione accanto alla dichiarazione di conformità.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Correzioni di errore approvate.</w:t>
      </w:r>
    </w:p>
    <w:p>
      <w:pPr>
        <w:pStyle w:val="Heading1"/>
      </w:pPr>
      <w:r>
        <w:t>11Indice di divulgazione e riferimenti incrociati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Fornire una mappa controllata da ogni requisito materiale alla posizione del rapporto e al registro tecnico di supporto.</w:t>
            </w:r>
          </w:p>
        </w:tc>
      </w:tr>
    </w:tbl>
    <w:p>
      <w:pPr>
        <w:spacing w:after="0"/>
      </w:pPr>
    </w:p>
    <w:p>
      <w:pPr>
        <w:pStyle w:val="Heading2"/>
      </w:pPr>
      <w:r>
        <w:t>11.1 Indice di divulgazione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[TABELLA INSERTATORE: ID richiesto; UK paragrafo; stato; pagina/località del rapporto; riferimento incrociato; disposizione; identificativo delle prove; revisore.]</w:t>
      </w:r>
    </w:p>
    <w:p>
      <w:pPr>
        <w:pStyle w:val="Heading2"/>
      </w:pPr>
      <w:r>
        <w:t>11.2 Test di rilascio di riferimento incrociato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documento/pagina/URL esatto; tempo di rilascio; termini di accesso; versione; posizione dell'archivio; responsabile.]</w:t>
      </w:r>
    </w:p>
    <w:p>
      <w:pPr>
        <w:pStyle w:val="Heading2"/>
      </w:pPr>
      <w:r>
        <w:t>11.3 Relati UK dichiarazioni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NFSIS, SECR e informazioni attuali FCA; nota di sovrapposizione e riconciliazione.]</w:t>
      </w:r>
    </w:p>
    <w:p>
      <w:pPr>
        <w:pStyle w:val="Heading2"/>
      </w:pPr>
      <w:r>
        <w:t>Prove e indicazioni di controllo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Nessun riferimento rotto o generico.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Informazioni di riferimento rilasciate contemporaneamente.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Fonti dinamiche bloccate o archiviate.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Le affermazioni specifiche del quadro rimangono diverse.</w:t>
      </w:r>
    </w:p>
    <w:p>
      <w:pPr>
        <w:pStyle w:val="Heading1"/>
      </w:pPr>
      <w:r>
        <w:t>Registro finale di approvazione della direzione e del consiglio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2509"/>
        <w:gridCol w:w="2509"/>
        <w:gridCol w:w="2509"/>
        <w:gridCol w:w="2509"/>
      </w:tblGrid>
      <w:tr>
        <w:trPr>
          <w:tblHeader w:val="true"/>
        </w:trPr>
        <w:tc>
          <w:tcPr>
            <w:tcW w:type="dxa" w:w="2381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Porta</w:t>
            </w:r>
          </w:p>
        </w:tc>
        <w:tc>
          <w:tcPr>
            <w:tcW w:type="dxa" w:w="2381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Nome / corpo</w:t>
            </w:r>
          </w:p>
        </w:tc>
        <w:tc>
          <w:tcPr>
            <w:tcW w:type="dxa" w:w="2381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Decisione / data</w:t>
            </w:r>
          </w:p>
        </w:tc>
        <w:tc>
          <w:tcPr>
            <w:tcW w:type="dxa" w:w="2665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Azioni aperte</w:t>
            </w:r>
          </w:p>
        </w:tc>
      </w:tr>
      <w:tr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Certificazione del titolare dei dati</w:t>
            </w:r>
          </w:p>
        </w:tc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665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Rivista tecnica</w:t>
            </w:r>
          </w:p>
        </w:tc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665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CFO / finanza coerenza</w:t>
            </w:r>
          </w:p>
        </w:tc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665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Segretario legale / aziendale</w:t>
            </w:r>
          </w:p>
        </w:tc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665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Audit interno / revisione della preparazione</w:t>
            </w:r>
          </w:p>
        </w:tc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665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Raccomandazione della commissione di revisione contabile</w:t>
            </w:r>
          </w:p>
        </w:tc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665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Accettazione del consiglio di amministrazione</w:t>
            </w:r>
          </w:p>
        </w:tc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665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Certificazione di rilascio</w:t>
            </w:r>
          </w:p>
        </w:tc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665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FFF2CC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7F6000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7F6000"/>
                <w:sz w:val="17"/>
              </w:rPr>
              <w:t>FINAL LIMITATION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/>
                <w:color w:val="7F6000"/>
                <w:sz w:val="18"/>
              </w:rPr>
              <w:t>Le istruzioni illustrative non sostituiscono la conclusione UK norme SRS, decisioni di rilevanza e applicabilità specifiche per l'entità, consulenza giuridica, controlli interni o assicurazione indipendente.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879" w:right="935" w:bottom="822" w:left="935" w:header="255" w:footer="25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  <w:jc w:val="center"/>
      <w:tblLayout w:type="fixed"/>
    </w:tblPr>
    <w:tblGrid>
      <w:gridCol w:w="3345"/>
      <w:gridCol w:w="3345"/>
      <w:gridCol w:w="3345"/>
    </w:tblGrid>
    <w:tr>
      <w:tc>
        <w:tcPr>
          <w:tcW w:type="dxa" w:w="3628"/>
          <w:tcMar>
            <w:top w:w="15" w:type="dxa"/>
            <w:start w:w="0" w:type="dxa"/>
            <w:bottom w:w="0" w:type="dxa"/>
            <w:end w:w="0" w:type="dxa"/>
          </w:tcMar>
          <w:tcBorders>
            <w:top w:val="single" w:sz="6" w:color="C8D2DC"/>
          </w:tcBorders>
        </w:tcPr>
        <w:p>
          <w:pPr>
            <w:spacing w:before="0" w:after="0" w:line="240" w:lineRule="auto"/>
          </w:pPr>
          <w:r>
            <w:rPr>
              <w:rFonts w:ascii="Lato" w:hAnsi="Lato" w:eastAsia="Lato"/>
              <w:color w:val="667788"/>
              <w:sz w:val="15"/>
            </w:rPr>
            <w:t>UKSRS-S2-TPL-001  · Versione 1.0</w:t>
          </w:r>
        </w:p>
      </w:tc>
      <w:tc>
        <w:tcPr>
          <w:tcW w:type="dxa" w:w="3685"/>
          <w:tcMar>
            <w:top w:w="15" w:type="dxa"/>
            <w:start w:w="0" w:type="dxa"/>
            <w:bottom w:w="0" w:type="dxa"/>
            <w:end w:w="0" w:type="dxa"/>
          </w:tcMar>
          <w:tcBorders>
            <w:top w:val="single" w:sz="6" w:color="C8D2DC"/>
          </w:tcBorders>
        </w:tcPr>
        <w:p>
          <w:pPr>
            <w:spacing w:before="0" w:after="0" w:line="240" w:lineRule="auto"/>
            <w:jc w:val="center"/>
          </w:pPr>
          <w:r>
            <w:rPr>
              <w:rFonts w:ascii="Lato" w:hAnsi="Lato" w:eastAsia="Lato"/>
              <w:color w:val="667788"/>
              <w:sz w:val="15"/>
            </w:rPr>
            <w:t>Sottovisione tecnica: 3 Agosto 2026</w:t>
          </w:r>
        </w:p>
      </w:tc>
      <w:tc>
        <w:tcPr>
          <w:tcW w:type="dxa" w:w="2721"/>
          <w:tcMar>
            <w:top w:w="15" w:type="dxa"/>
            <w:start w:w="0" w:type="dxa"/>
            <w:bottom w:w="0" w:type="dxa"/>
            <w:end w:w="0" w:type="dxa"/>
          </w:tcMar>
          <w:tcBorders>
            <w:top w:val="single" w:sz="6" w:color="C8D2DC"/>
          </w:tcBorders>
        </w:tcPr>
        <w:p>
          <w:pPr>
            <w:jc w:val="right"/>
          </w:pPr>
          <w:r>
            <w:rPr>
              <w:rFonts w:ascii="Lato" w:hAnsi="Lato" w:eastAsia="Lato"/>
              <w:color w:val="667788"/>
              <w:sz w:val="16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jc w:val="center"/>
      <w:tblLayout w:type="fixed"/>
    </w:tblPr>
    <w:tblGrid>
      <w:gridCol w:w="5017"/>
      <w:gridCol w:w="5017"/>
    </w:tblGrid>
    <w:tr>
      <w:tc>
        <w:tcPr>
          <w:tcW w:type="dxa" w:w="7257"/>
          <w:tcMar>
            <w:top w:w="20" w:type="dxa"/>
            <w:start w:w="0" w:type="dxa"/>
            <w:bottom w:w="20" w:type="dxa"/>
            <w:end w:w="0" w:type="dxa"/>
          </w:tcMar>
          <w:tcBorders>
            <w:bottom w:val="single" w:sz="8" w:color="2A6F97"/>
          </w:tcBorders>
        </w:tcPr>
        <w:p>
          <w:pPr>
            <w:spacing w:before="0" w:after="0" w:line="240" w:lineRule="auto"/>
            <w:jc w:val="left"/>
          </w:pPr>
          <w:r>
            <w:rPr>
              <w:rFonts w:ascii="Lato" w:hAnsi="Lato" w:eastAsia="Lato"/>
              <w:b/>
              <w:color w:val="667788"/>
              <w:sz w:val="16"/>
            </w:rPr>
            <w:t>LONDON REPORTING ACADEMY  ·  CENTRO CONOSCENZE</w:t>
          </w:r>
        </w:p>
      </w:tc>
      <w:tc>
        <w:tcPr>
          <w:tcW w:type="dxa" w:w="2778"/>
          <w:tcMar>
            <w:top w:w="20" w:type="dxa"/>
            <w:start w:w="0" w:type="dxa"/>
            <w:bottom w:w="20" w:type="dxa"/>
            <w:end w:w="0" w:type="dxa"/>
          </w:tcMar>
          <w:tcBorders>
            <w:bottom w:val="single" w:sz="8" w:color="2A6F97"/>
          </w:tcBorders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260000" cy="756000"/>
                <wp:docPr id="1" name="Picture 1" descr="London Reporting Academy logo" title="London Reporting Academy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RA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0000" cy="75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Lato" w:hAnsi="Lato" w:eastAsia="Lato"/>
      <w:color w:val="26384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Lato" w:hAnsi="Lato" w:eastAsia="Lato"/>
      <w:b/>
      <w:bCs/>
      <w:color w:val="173F65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Lato" w:hAnsi="Lato" w:eastAsia="Lato"/>
      <w:b/>
      <w:bCs/>
      <w:color w:val="2A6F97"/>
      <w:sz w:val="3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Lato" w:hAnsi="Lato" w:eastAsia="Lato"/>
      <w:b/>
      <w:bCs/>
      <w:color w:val="173F65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Lato" w:hAnsi="Lato" w:eastAsia="Lato"/>
      <w:b/>
      <w:color w:val="173F6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60"/>
    </w:pPr>
    <w:rPr>
      <w:rFonts w:asciiTheme="majorHAnsi" w:eastAsiaTheme="majorEastAsia" w:hAnsiTheme="majorHAnsi" w:cstheme="majorBidi" w:ascii="Lato" w:hAnsi="Lato" w:eastAsia="Lato"/>
      <w:b/>
      <w:i/>
      <w:iCs/>
      <w:color w:val="667788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59" w:lineRule="auto"/>
      <w:contextualSpacing/>
    </w:pPr>
    <w:rPr>
      <w:rFonts w:ascii="Lato" w:hAnsi="Lato" w:eastAsia="Lato"/>
      <w:color w:val="26384A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59" w:lineRule="auto"/>
      <w:contextualSpacing/>
    </w:pPr>
    <w:rPr>
      <w:rFonts w:ascii="Lato" w:hAnsi="Lato" w:eastAsia="Lato"/>
      <w:color w:val="26384A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RASmall">
    <w:name w:val="LRA Small"/>
    <w:pPr>
      <w:spacing w:after="60" w:line="240" w:lineRule="auto"/>
    </w:pPr>
    <w:rPr>
      <w:rFonts w:ascii="Lato" w:hAnsi="Lato" w:eastAsia="Lato"/>
      <w:color w:val="667788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SRS S2 Annual Report Disclosure Template</dc:title>
  <dc:subject>Editable structure and drafting prompts for basis of preparation, four pillars, scenarios, GHG, financial effects, judgements, provisions, cross-references and approval</dc:subject>
  <dc:creator>London Reporting Academy</dc:creator>
  <cp:keywords>UK SRS S2 report template, annual report, climate disclosure</cp:keywords>
  <dc:description>Prepared as a London Reporting Academy Knowledge Card Package.</dc:description>
  <cp:lastModifiedBy>London Reporting Academy</cp:lastModifiedBy>
  <cp:revision>1</cp:revision>
  <dcterms:created xsi:type="dcterms:W3CDTF">2013-12-23T23:15:00Z</dcterms:created>
  <dcterms:modified xsi:type="dcterms:W3CDTF">2013-12-23T23:15:00Z</dcterms:modified>
  <cp:category/>
</cp:coreProperties>
</file>