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57400" cy="1234440"/>
            <wp:docPr id="1" name="Picture 1" title="London Reporting Academy logo" descr="London Reporting Academy logo."/>
            <wp:cNvGraphicFramePr>
              <a:graphicFrameLocks noChangeAspect="1"/>
            </wp:cNvGraphicFramePr>
            <a:graphic>
              <a:graphicData uri="http://schemas.openxmlformats.org/drawingml/2006/picture">
                <pic:pic>
                  <pic:nvPicPr>
                    <pic:cNvPr id="0" name="lra_logo.png"/>
                    <pic:cNvPicPr/>
                  </pic:nvPicPr>
                  <pic:blipFill>
                    <a:blip r:embed="rId39"/>
                    <a:stretch>
                      <a:fillRect/>
                    </a:stretch>
                  </pic:blipFill>
                  <pic:spPr>
                    <a:xfrm>
                      <a:off x="0" y="0"/>
                      <a:ext cx="2057400" cy="1234440"/>
                    </a:xfrm>
                    <a:prstGeom prst="rect"/>
                  </pic:spPr>
                </pic:pic>
              </a:graphicData>
            </a:graphic>
          </wp:inline>
        </w:drawing>
      </w:r>
    </w:p>
    <w:p>
      <w:pPr>
        <w:spacing w:after="80"/>
        <w:jc w:val="left"/>
      </w:pPr>
      <w:r>
        <w:rPr>
          <w:rFonts w:ascii="Arial" w:hAnsi="Arial"/>
          <w:b/>
          <w:color w:val="173F73"/>
          <w:sz w:val="15"/>
        </w:rPr>
        <w:t>LRA KENNISCENTRUM · TNFD PRODUCTIEPAKKET</w:t>
      </w:r>
    </w:p>
    <w:p>
      <w:pPr>
        <w:pStyle w:val="Title"/>
      </w:pPr>
      <w:r>
        <w:t>TNFD Aanbieder Natuurgegevens Vraaglijst en Bewijsmatrix</w:t>
      </w:r>
    </w:p>
    <w:p>
      <w:pPr>
        <w:pStyle w:val="Subtitle"/>
      </w:pPr>
      <w:r>
        <w:t>Bewerkbaar aankoopinstrument voor gepaste aanvragen van gegevens over de aard aan leveranciers en kmo's</w:t>
      </w:r>
    </w:p>
    <w:tbl>
      <w:tblPr>
        <w:tblW w:type="auto" w:w="0"/>
        <w:jc w:val="left"/>
        <w:tblLook w:firstColumn="1" w:firstRow="1" w:lastColumn="0" w:lastRow="0" w:noHBand="0" w:noVBand="1" w:val="04A0"/>
      </w:tblPr>
      <w:tblGrid>
        <w:gridCol w:w="15628"/>
      </w:tblGrid>
      <w:tr>
        <w:tc>
          <w:tcPr>
            <w:tcW w:type="dxa" w:w="15628"/>
            <w:shd w:fill="E7F5F3"/>
            <w:tcBorders>
              <w:top w:val="single" w:sz="6" w:color="157A6E"/>
              <w:left w:val="single" w:sz="12" w:color="157A6E"/>
              <w:bottom w:val="single" w:sz="6" w:color="157A6E"/>
              <w:right w:val="single" w:sz="6" w:color="157A6E"/>
            </w:tcBorders>
          </w:tcPr>
          <w:p>
            <w:pPr>
              <w:spacing w:after="40"/>
            </w:pPr>
            <w:r>
              <w:rPr>
                <w:rFonts w:ascii="Arial" w:hAnsi="Arial"/>
                <w:b/>
                <w:color w:val="157A6E"/>
                <w:sz w:val="18"/>
              </w:rPr>
              <w:t>Pakketbeheer Pakket-ID: TNFD-SUP-TOOL-001. Bronset herzien 3 - augustus 2026- In het Engels. De openbare bekendmaking is nog steeds onderworpen aan de definitieve LRA technische en redactionele goedkeuring.</w:t>
              <w:br/>
            </w:r>
            <w:r>
              <w:rPr>
                <w:rFonts w:ascii="Arial" w:hAnsi="Arial"/>
                <w:color w:val="253446"/>
                <w:sz w:val="17"/>
              </w:rPr>
              <w:t/>
            </w:r>
          </w:p>
        </w:tc>
      </w:tr>
    </w:tbl>
    <w:p>
      <w:pPr>
        <w:spacing w:after="0"/>
      </w:pPr>
    </w:p>
    <w:p>
      <w:r>
        <w:br w:type="page"/>
      </w:r>
    </w:p>
    <w:p>
      <w:pPr>
        <w:pStyle w:val="Heading2"/>
        <w:keepNext/>
      </w:pPr>
      <w:r>
        <w:t>1Hoe gebruik je dit hulpmiddel ?</w:t>
      </w:r>
    </w:p>
    <w:p>
      <w:pPr/>
      <w:r>
        <w:t>Dit is een LRA uitvoeringstemplate, geen officiële TNFD, GRI of ESRS De Commissie stelt de volgende voorwaarden vast: gebruik eerst de screeningtafel. Geef de minimale kern aan relevante leveranciers. Voeg alleen verbeterde modules toe indien dit gerechtvaardigd is door sector, grondstof, locatie, bedrijfscriticiteit of gebreken aan bewijsmateriaal. Vervang plaatshoudertekst, definieer de verslagperiode en toepassing van juridische, inkoop-, concurrentie-, privacy-, beveiligings- en mensenrechtenbeoordeling als relevant.</w:t>
      </w:r>
    </w:p>
    <w:tbl>
      <w:tblPr>
        <w:tblW w:type="auto" w:w="0"/>
        <w:jc w:val="left"/>
        <w:tblLook w:firstColumn="1" w:firstRow="1" w:lastColumn="0" w:lastRow="0" w:noHBand="0" w:noVBand="1" w:val="04A0"/>
      </w:tblPr>
      <w:tblGrid>
        <w:gridCol w:w="15628"/>
      </w:tblGrid>
      <w:tr>
        <w:tc>
          <w:tcPr>
            <w:tcW w:type="dxa" w:w="15628"/>
            <w:shd w:fill="FFF4D8"/>
            <w:tcBorders>
              <w:top w:val="single" w:sz="6" w:color="9A6B00"/>
              <w:left w:val="single" w:sz="12" w:color="9A6B00"/>
              <w:bottom w:val="single" w:sz="6" w:color="9A6B00"/>
              <w:right w:val="single" w:sz="6" w:color="9A6B00"/>
            </w:tcBorders>
          </w:tcPr>
          <w:p>
            <w:pPr>
              <w:spacing w:after="40"/>
            </w:pPr>
            <w:r>
              <w:rPr>
                <w:rFonts w:ascii="Arial" w:hAnsi="Arial"/>
                <w:b/>
                <w:color w:val="9A6B00"/>
                <w:sz w:val="18"/>
              </w:rPr>
              <w:t>Verhoudingsregeling Niet vereist een SME om een voetafdruk van de biodiversiteit te berekenen of gegevens op grondgebied te verzamelen, tenzij de koper de beslissing, het bereik, de methode, de ondersteuning en het gebruik kan verklaren. "Onbekend", "schatting" en "vertrouwelijk" accepteren als gecontroleerde staten, niet als stille lege plekken.</w:t>
              <w:br/>
            </w:r>
            <w:r>
              <w:rPr>
                <w:rFonts w:ascii="Arial" w:hAnsi="Arial"/>
                <w:color w:val="253446"/>
                <w:sz w:val="17"/>
              </w:rPr>
              <w:t/>
            </w:r>
          </w:p>
        </w:tc>
      </w:tr>
    </w:tbl>
    <w:p>
      <w:pPr>
        <w:spacing w:after="0"/>
      </w:pPr>
    </w:p>
    <w:p>
      <w:pPr>
        <w:pStyle w:val="Heading2"/>
        <w:keepNext/>
      </w:pPr>
      <w:r>
        <w:t>2- Koper screening en modulebesluit</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Leverancier / categorie</w:t>
            </w:r>
          </w:p>
        </w:tc>
        <w:tc>
          <w:tcPr>
            <w:tcW w:type="dxa" w:w="97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Product of grondstof</w:t>
            </w:r>
          </w:p>
        </w:tc>
        <w:tc>
          <w:tcPr>
            <w:tcW w:type="dxa" w:w="756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Activiteit</w:t>
            </w:r>
          </w:p>
        </w:tc>
        <w:tc>
          <w:tcPr>
            <w:tcW w:type="dxa" w:w="82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Land / regio</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Uitgaven / volume</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Gevoel van de natuur</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Module vereist</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Eigenaar</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[Sector / grondstoffen / locatie / incident / kritiek / kloof]</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[Kern/water/grond / grondstoffen / vervuiling / rechten / doelstellingen]</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7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56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82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7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56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82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bl>
    <w:p>
      <w:pPr>
        <w:spacing w:after="0"/>
      </w:pPr>
    </w:p>
    <w:p>
      <w:pPr>
        <w:pStyle w:val="Heading2"/>
        <w:keepNext/>
      </w:pPr>
      <w:r>
        <w:t>3- Aanwijzingen van leveranciers</w:t>
      </w:r>
    </w:p>
    <w:p>
      <w:pPr>
        <w:pStyle w:val="ListBullet"/>
      </w:pPr>
      <w:r>
        <w:t>Verslag voor de periode: [voeg de periode in]. vermeld waar het antwoord betrekking heeft op een andere periode.</w:t>
      </w:r>
    </w:p>
    <w:p>
      <w:pPr>
        <w:pStyle w:val="ListBullet"/>
      </w:pPr>
      <w:r>
        <w:t>Gebruik de activiteit en de productieplaats die relevant zijn voor het geleverde product of dienst, niet alleen het wettelijke hoofdkantoor.</w:t>
      </w:r>
    </w:p>
    <w:p>
      <w:pPr>
        <w:pStyle w:val="ListBullet"/>
      </w:pPr>
      <w:r>
        <w:t>Kies één reactiestatus voor elk veld: gemeten, geschatte, gemodelleerde, onbekend, niet toepasselijk of vertrouwelijk.</w:t>
      </w:r>
    </w:p>
    <w:p>
      <w:pPr>
        <w:pStyle w:val="ListBullet"/>
      </w:pPr>
      <w:r>
        <w:t>Identificeer de bron van bewijsmateriaal en de geldigheidsduur.</w:t>
      </w:r>
    </w:p>
    <w:p>
      <w:pPr>
        <w:pStyle w:val="ListBullet"/>
      </w:pPr>
      <w:r>
        <w:t>Wanneer de exacte coördinaten vertrouwelijk zijn, selecteer een beperkte toegang of een optie voor aggregatie en leg dan de reden uit.</w:t>
      </w:r>
    </w:p>
    <w:p>
      <w:pPr>
        <w:pStyle w:val="ListBullet"/>
      </w:pPr>
      <w:r>
        <w:t>Identificeer eventuele datalekken en stel een realistische verbeteringstermijn of de nodige ondersteuning voor.</w:t>
      </w:r>
    </w:p>
    <w:p>
      <w:pPr>
        <w:pStyle w:val="Heading2"/>
        <w:keepNext/>
      </w:pPr>
      <w:r>
        <w:t>4- Minimaal kernvragenlijst</w:t>
      </w:r>
    </w:p>
    <w:tbl>
      <w:tblPr>
        <w:tblStyle w:val="TableGrid"/>
        <w:tblW w:type="auto" w:w="0"/>
        <w:jc w:val="left"/>
        <w:tblLayout w:type="fixed"/>
        <w:tblLook w:firstColumn="1" w:firstRow="1" w:lastColumn="0" w:lastRow="0" w:noHBand="0" w:noVBand="1" w:val="04A0"/>
      </w:tblPr>
      <w:tblGrid>
        <w:gridCol w:w="2605"/>
        <w:gridCol w:w="2605"/>
        <w:gridCol w:w="2605"/>
        <w:gridCol w:w="2605"/>
        <w:gridCol w:w="2605"/>
        <w:gridCol w:w="2605"/>
      </w:tblGrid>
      <w:tr>
        <w:trPr>
          <w:tblHeader w:val="true"/>
          <w:cantSplit/>
        </w:trPr>
        <w:tc>
          <w:tcPr>
            <w:tcW w:type="dxa" w:w="3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ID</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Veld</w:t>
            </w:r>
          </w:p>
        </w:tc>
        <w:tc>
          <w:tcPr>
            <w:tcW w:type="dxa" w:w="20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Aanbieder spoedig</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Reactie-type</w:t>
            </w:r>
          </w:p>
        </w:tc>
        <w:tc>
          <w:tcPr>
            <w:tcW w:type="dxa" w:w="1475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Aanbevolen bewijsmateriaal</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Reactie</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Entiteit en faciliteit</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Juridische entiteit, exploitant en faciliteit of activiteit die de koper levert.</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Tekst</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Overeenkomst, hoofdleverancier, faciliteitslijst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Product / dienst</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Producten, diensten en de voornaamste natuurlijke grondstoffen of materialen die worden geleverd.</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Tekst / lijst</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Specifiek, materiaalbrief, factuur</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Activiteit</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Produceren, verbouwen, extraheren, verwerken, handelen, transporteren, bouwen, bedienen of dienstverlening.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Selecteer / tekst</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Ondernemingslicentie, procesbeschrijving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Productieplaats</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 en regio; coördinaten of veelhoeken, indien beschikbaar en relevant.</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Locatie + vertrouwen</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Kaart, register, GPS, geocoded adres</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C05</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Oorsprong / traceerbaarheid</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Voor verwerkte of verhandelbare materialen, bekendste oorsprong en percentage.</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 / regio / locatie / perceel / onbekend</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Ketting van bewaring, leverancierslijst, massa-balans</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C06</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Waterinterface</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Materiële afhankelijkheid van of invloed op de beschikbaarheid, kwaliteit, stroom, overstromingen of ecosystemen van water.</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Ja / nee / onbekend + uitleg</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Vergunning, meter, badplaat, waterbalans</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C07</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 / biodiversiteitsinterface</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Landgebruik, habitat, bodem, soorten, ecosysteemdiensten of relevantie voor gevoelige locaties.</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Ja / nee / onbekend + uitleg</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Plaatsplan, onderzoek, afstandsbediening, audit</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C08</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Beheer en vergunningen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De relevante beleidslijnen, procedures, vergunningen en certificeringen en hun reikwijdte en vervaldatum.</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Lijst</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Huidige gecontroleerde documenten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C09</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Incidenten en klachten</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Materiële incidenten, handhaving, onopgeloste klachten of remedies in de periode.</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Ja / nee / beperkt + uitleg</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Incidentenregister, registratieregister, klachtenregister</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C10</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Metricen en doelstellingen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Metricen of doelstellingen die verband houden met de natuur en die worden gebruikt voor de geleverde activiteit of het geleverde product.</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Tekst / numeriek</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Metodologie, basislijn, doelbepaling, progressiefayl</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C11</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Bewijsstatus</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Voor materiële antwoorden moet de bron, de periode en het feit of deze gemeten, geschatte of gemodelleerde zijn worden vermeld.</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Bewijsregister</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Document ID / URL / eigenaar</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C12</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Datalekken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Velden niet beschikbaar, waarom, tussentijdse proxy en verwachte verbetering datum.</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Gapplan</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Goedgekeurd verbeteringsplan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C13</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Geheime informatie</w:t>
            </w:r>
          </w:p>
        </w:tc>
        <w:tc>
          <w:tcPr>
            <w:tcW w:type="dxa" w:w="20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Velden waarvoor beperkte toegang, maskering, aggregatie of verificatie door derden vereist zijn.</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Selecteer + reden</w:t>
            </w:r>
          </w:p>
        </w:tc>
        <w:tc>
          <w:tcPr>
            <w:tcW w:type="dxa" w:w="1475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Geheimhoudingsovereenkomst, overeenkomst voor gegevensdeling, toegangsbeheer</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r>
        <w:trPr>
          <w:cantSplit/>
        </w:trPr>
        <w:tc>
          <w:tcPr>
            <w:tcW w:type="dxa" w:w="3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C14</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Verantwoordelijke contactpersonen</w:t>
            </w:r>
          </w:p>
        </w:tc>
        <w:tc>
          <w:tcPr>
            <w:tcW w:type="dxa" w:w="20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Naam van de rol die verantwoordelijk is voor de antwoorden en het volgen.</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Naam / functie / e-mail</w:t>
            </w:r>
          </w:p>
        </w:tc>
        <w:tc>
          <w:tcPr>
            <w:tcW w:type="dxa" w:w="1475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Beheergoedkeuring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[Reactie van leverancier]</w:t>
            </w:r>
          </w:p>
        </w:tc>
      </w:tr>
    </w:tbl>
    <w:p>
      <w:pPr>
        <w:spacing w:after="0"/>
      </w:pPr>
    </w:p>
    <w:p>
      <w:pPr>
        <w:pStyle w:val="Heading2"/>
        <w:keepNext/>
      </w:pPr>
      <w:r>
        <w:t>5- Verbeterde module voor grondstoffen en traceerbaarheid</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80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Vraag:</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Reactie</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Bewijs / beperking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COM01</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De aan de koper geleverde grondstoffen of natuurlijke materialen en het jaarlijkse volume.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COM02</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Oorsprongniveau: land, regio, bassin, aanbestedingspunt, boerderij, mijn, bos, visserij, faciliteit of perceel.</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COM03</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Percentage van het geleverde volume dat wordt gedekt door elk niveau van oorsprong en model voor de keten van opslag.</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COM04</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Bekende datum en bewijs van de afsluiting van de ombouw, ontbossing, extractie, oogst of landgebruiksverandering.</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COM05</w:t>
            </w:r>
          </w:p>
        </w:tc>
        <w:tc>
          <w:tcPr>
            <w:tcW w:type="dxa" w:w="280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Certificerings- of assurance-regeling, omvang, certificaathouder, locaties, geldigheid, auditstatus en uitsluitingen.</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COM06</w:t>
            </w:r>
          </w:p>
        </w:tc>
        <w:tc>
          <w:tcPr>
            <w:tcW w:type="dxa" w:w="280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Het is de bedoeling van het Europees Parlement en de Raad om een gemeenschappelijk standpunt te nemen over de toepassing van de bepalingen van artikel 107, lid 1, van Verordening (EU) nr. 575/2013.</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r>
    </w:tbl>
    <w:p>
      <w:pPr>
        <w:spacing w:after="0"/>
      </w:pPr>
    </w:p>
    <w:p>
      <w:pPr>
        <w:pStyle w:val="Heading2"/>
        <w:keepNext/>
      </w:pPr>
      <w:r>
        <w:t>6Verbeterde watermodule</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7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Vraag:</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Eenheid / reactie</w:t>
            </w:r>
          </w:p>
        </w:tc>
        <w:tc>
          <w:tcPr>
            <w:tcW w:type="dxa" w:w="230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Bewijs / beperking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W01</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Waterbron, bassin of watervat en seizoensgebonden beperkingen.</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[Bron/bassin]</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[Kaart / vergunning / scherm]</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W02</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Inhoud en verbruik voor de betreffende faciliteit of product.</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en periode]</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[Meter / schatting methode]</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W03</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De hoeveelheid, bestemming, kwaliteitsparameters en overschrijdingen van de ontlading.</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[m3 / parameter]</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[Vergunning / laboratorium / incident]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W04</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Materiële afhankelijkheid van de waterkwaliteit, de regelgeving van overstromingen of de conditie van het ecosysteem.</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[Toelichten]</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[risicobeoordeling/ exploitatiedrempel]</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W05</w:t>
            </w:r>
          </w:p>
        </w:tc>
        <w:tc>
          <w:tcPr>
            <w:tcW w:type="dxa" w:w="27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Gebruikers, gemeenschappen of ecosystemen die getroffen zijn en betrokkenheid of klachtenproces.</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[Verduidelijk/beperkt]</w:t>
            </w:r>
          </w:p>
        </w:tc>
        <w:tc>
          <w:tcPr>
            <w:tcW w:type="dxa" w:w="230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[Begeleidingsregister / klacht]</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W06</w:t>
            </w:r>
          </w:p>
        </w:tc>
        <w:tc>
          <w:tcPr>
            <w:tcW w:type="dxa" w:w="27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Waterdoelstelling, basislijn, acties, vooruitgang en bewijs van resultaten.</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30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[Doelbestand / monitoring]</w:t>
            </w:r>
          </w:p>
        </w:tc>
      </w:tr>
    </w:tbl>
    <w:p>
      <w:pPr>
        <w:spacing w:after="0"/>
      </w:pPr>
    </w:p>
    <w:p>
      <w:pPr>
        <w:pStyle w:val="Heading2"/>
        <w:keepNext/>
      </w:pPr>
      <w:r>
        <w:t>7- Verbeterde grond, biodiversiteit en gemeenschapsmodule</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ID</w:t>
            </w:r>
          </w:p>
        </w:tc>
        <w:tc>
          <w:tcPr>
            <w:tcW w:type="dxa" w:w="26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Vraag:</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Reactie</w:t>
            </w:r>
          </w:p>
        </w:tc>
        <w:tc>
          <w:tcPr>
            <w:tcW w:type="dxa" w:w="24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3"/>
              </w:rPr>
              <w:t>Bewijs / beperking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BIO01</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Coördinaten van de locatie of polygon en totale gecontroleerde, verstoren en gerehabiliteerde ruimte.</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[GIS / siteplan]</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BIO02</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Eerdere en huidige grondgebruik, ecosysteemtype en materiële veranderingen in de verslagperiode.</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[Nulmeting / teledetectie / onderzoek]</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BIO03</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Nabijheid of grensoverschrijdende band met beschermde gebieden, ecosystemen met een hoge integriteit of snel afnemende omvang, gebieden die van belang zijn voor de biodiversiteit of waterstress.</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[Data-instelling, versie, buffer en schaal]</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BIO04</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Materiële directe drijvende factoren: land- of zeebruik, hulpbronwinning, vervuiling, klimaat of invasieve soorten.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[Besluits- en milieudata]</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BIO05</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Materiële ecosysteem-dienstenafhankelijkheden en bewijs van veranderende beschikbaarheid of kwaliteit.</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[Aanhangbeoordeling/monitoring]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BIO06</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Geïntegreerde gemeenschappen, inheemse volkeren of lokale gemeenschappen, toepasselijke rechten en betrokkenheidsproces.</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[Volledig/beperkt]</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[Richtingenbeoordeling / betrokkenheid / FPIC indien van toepassing]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BIO07</w:t>
            </w:r>
          </w:p>
        </w:tc>
        <w:tc>
          <w:tcPr>
            <w:tcW w:type="dxa" w:w="26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Vermijding, minimalisatie, herstel, rehabilitatie of andere reacties en residuele impact.</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[Plan, begroting, monitoring, goedkeuring]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BIO08</w:t>
            </w:r>
          </w:p>
        </w:tc>
        <w:tc>
          <w:tcPr>
            <w:tcW w:type="dxa" w:w="26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Baseline, doel, voorwaarde of uitkomstmetric, methode, vooruitgang en beperkingen.</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[Volledig]</w:t>
            </w:r>
          </w:p>
        </w:tc>
        <w:tc>
          <w:tcPr>
            <w:tcW w:type="dxa" w:w="24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3"/>
              </w:rPr>
              <w:t>[Metodologie/specialistische verslag]</w:t>
            </w:r>
          </w:p>
        </w:tc>
      </w:tr>
    </w:tbl>
    <w:p>
      <w:pPr>
        <w:spacing w:after="0"/>
      </w:pPr>
    </w:p>
    <w:p>
      <w:pPr>
        <w:pStyle w:val="Heading2"/>
        <w:keepNext/>
      </w:pPr>
      <w:r>
        <w:t>8- Bewijsbeoordelingsmatrix</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Veld / claim</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Bewijs ID</w:t>
            </w:r>
          </w:p>
        </w:tc>
        <w:tc>
          <w:tcPr>
            <w:tcW w:type="dxa" w:w="46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Niveau 1–4</w:t>
            </w:r>
          </w:p>
        </w:tc>
        <w:tc>
          <w:tcPr>
            <w:tcW w:type="dxa" w:w="54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Periode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Omvang en locatie</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Methode / verzekering</w:t>
            </w:r>
          </w:p>
        </w:tc>
        <w:tc>
          <w:tcPr>
            <w:tcW w:type="dxa" w:w="12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Conclusies van de beoordelaar</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Actie</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[Periode]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[Accepteren / kwalificeren / verwerpen]</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[Actie]</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[Periode]</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2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[Accepteren / kwalificeren / verwerpen]</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[Actie]</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46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[1-4]</w:t>
            </w:r>
          </w:p>
        </w:tc>
        <w:tc>
          <w:tcPr>
            <w:tcW w:type="dxa" w:w="54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[Periode]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2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[Accepteren / kwalificeren / verwerpen]</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[Actie]</w:t>
            </w:r>
          </w:p>
        </w:tc>
      </w:tr>
    </w:tbl>
    <w:p>
      <w:pPr>
        <w:spacing w:after="0"/>
      </w:pPr>
    </w:p>
    <w:tbl>
      <w:tblPr>
        <w:tblW w:type="auto" w:w="0"/>
        <w:jc w:val="left"/>
        <w:tblLook w:firstColumn="1" w:firstRow="1" w:lastColumn="0" w:lastRow="0" w:noHBand="0" w:noVBand="1" w:val="04A0"/>
      </w:tblPr>
      <w:tblGrid>
        <w:gridCol w:w="15628"/>
      </w:tblGrid>
      <w:tr>
        <w:tc>
          <w:tcPr>
            <w:tcW w:type="dxa" w:w="15628"/>
            <w:shd w:fill="EAF3F8"/>
            <w:tcBorders>
              <w:top w:val="single" w:sz="6" w:color="2673A9"/>
              <w:left w:val="single" w:sz="12" w:color="2673A9"/>
              <w:bottom w:val="single" w:sz="6" w:color="2673A9"/>
              <w:right w:val="single" w:sz="6" w:color="2673A9"/>
            </w:tcBorders>
          </w:tcPr>
          <w:p>
            <w:pPr>
              <w:spacing w:after="40"/>
            </w:pPr>
            <w:r>
              <w:rPr>
                <w:rFonts w:ascii="Arial" w:hAnsi="Arial"/>
                <w:b/>
                <w:color w:val="2673A9"/>
                <w:sz w:val="18"/>
              </w:rPr>
              <w:t>De definitie van de term "expertise" is niet bepaald het volgende: 1De volgende voorwaarden zijn vastgesteld: 2De volgende categorieën zijn: 3De Commissie heeft de volgende conclusies ingediend: 4De Commissie heeft de volgende aanbevelingen gedaan:</w:t>
              <w:br/>
            </w:r>
            <w:r>
              <w:rPr>
                <w:rFonts w:ascii="Arial" w:hAnsi="Arial"/>
                <w:color w:val="253446"/>
                <w:sz w:val="17"/>
              </w:rPr>
              <w:t/>
            </w:r>
          </w:p>
        </w:tc>
      </w:tr>
    </w:tbl>
    <w:p>
      <w:pPr>
        <w:spacing w:after="0"/>
      </w:pPr>
    </w:p>
    <w:p>
      <w:pPr>
        <w:pStyle w:val="Heading2"/>
        <w:keepNext/>
      </w:pPr>
      <w:r>
        <w:t>9- Geheime gegevens en toegangsregister</w:t>
      </w:r>
    </w:p>
    <w:tbl>
      <w:tblPr>
        <w:tblStyle w:val="TableGrid"/>
        <w:tblW w:type="auto" w:w="0"/>
        <w:jc w:val="left"/>
        <w:tblLayout w:type="fixed"/>
        <w:tblLook w:firstColumn="1" w:firstRow="1" w:lastColumn="0" w:lastRow="0" w:noHBand="0" w:noVBand="1" w:val="04A0"/>
      </w:tblPr>
      <w:tblGrid>
        <w:gridCol w:w="2233"/>
        <w:gridCol w:w="2233"/>
        <w:gridCol w:w="2233"/>
        <w:gridCol w:w="2233"/>
        <w:gridCol w:w="2233"/>
        <w:gridCol w:w="2233"/>
        <w:gridCol w:w="2233"/>
      </w:tblGrid>
      <w:tr>
        <w:trPr>
          <w:tblHeader w:val="true"/>
          <w:cantSplit/>
        </w:trPr>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Dataveld</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Classificatie</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De reden</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Toegelaten gebruikers</w:t>
            </w:r>
          </w:p>
        </w:tc>
        <w:tc>
          <w:tcPr>
            <w:tcW w:type="dxa" w:w="1007999"/>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Opslag / overdracht</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Behoud</w:t>
            </w:r>
          </w:p>
        </w:tc>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Openbare behandeling</w:t>
            </w:r>
          </w:p>
        </w:tc>
      </w:tr>
      <w:tr>
        <w:trPr>
          <w:cantSplit/>
        </w:trPr>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[Public / buyer restricted / third party / masked / unavailable]</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[Rollen]</w:t>
            </w:r>
          </w:p>
        </w:tc>
        <w:tc>
          <w:tcPr>
            <w:tcW w:type="dxa" w:w="1007999"/>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[Systeem / data room]</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[Periode]</w:t>
            </w:r>
          </w:p>
        </w:tc>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[Aggregat / methode alleen / geen openbaarmaking]</w:t>
            </w:r>
          </w:p>
        </w:tc>
      </w:tr>
      <w:tr>
        <w:trPr>
          <w:cantSplit/>
        </w:trPr>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07999"/>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bl>
    <w:p>
      <w:pPr>
        <w:spacing w:after="0"/>
      </w:pPr>
    </w:p>
    <w:p>
      <w:pPr>
        <w:pStyle w:val="Heading2"/>
        <w:keepNext/>
      </w:pPr>
      <w:r>
        <w:t>10- Verbeteringsplan voor leveranciers</w:t>
      </w:r>
    </w:p>
    <w:tbl>
      <w:tblPr>
        <w:tblStyle w:val="TableGrid"/>
        <w:tblW w:type="auto" w:w="0"/>
        <w:jc w:val="left"/>
        <w:tblLayout w:type="fixed"/>
        <w:tblLook w:firstColumn="1" w:firstRow="1" w:lastColumn="0" w:lastRow="0" w:noHBand="0" w:noVBand="1" w:val="04A0"/>
      </w:tblPr>
      <w:tblGrid>
        <w:gridCol w:w="1953"/>
        <w:gridCol w:w="1953"/>
        <w:gridCol w:w="1953"/>
        <w:gridCol w:w="1953"/>
        <w:gridCol w:w="1953"/>
        <w:gridCol w:w="1953"/>
        <w:gridCol w:w="1953"/>
        <w:gridCol w:w="1953"/>
      </w:tblGrid>
      <w:tr>
        <w:trPr>
          <w:tblHeader w:val="true"/>
          <w:cantSplit/>
        </w:trPr>
        <w:tc>
          <w:tcPr>
            <w:tcW w:type="dxa" w:w="43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Geaccount ID</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Materiaalvraag / veld</w:t>
            </w:r>
          </w:p>
        </w:tc>
        <w:tc>
          <w:tcPr>
            <w:tcW w:type="dxa" w:w="9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Huidige status</w:t>
            </w:r>
          </w:p>
        </w:tc>
        <w:tc>
          <w:tcPr>
            <w:tcW w:type="dxa" w:w="864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Tijdelijke proxy</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Handeling van leveranciers</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Koperondersteuning</w:t>
            </w:r>
          </w:p>
        </w:tc>
        <w:tc>
          <w:tcPr>
            <w:tcW w:type="dxa" w:w="6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Vervaldatum</w:t>
            </w:r>
          </w:p>
        </w:tc>
        <w:tc>
          <w:tcPr>
            <w:tcW w:type="dxa" w:w="1152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2"/>
              </w:rPr>
              <w:t>Escalatie / besluit</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[Onbekend / Schatting / Onvolledig]</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[Datum]</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r>
        <w:trPr>
          <w:cantSplit/>
        </w:trPr>
        <w:tc>
          <w:tcPr>
            <w:tcW w:type="dxa" w:w="43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864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6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[Datum]</w:t>
            </w:r>
          </w:p>
        </w:tc>
        <w:tc>
          <w:tcPr>
            <w:tcW w:type="dxa" w:w="1152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r>
        <w:trPr>
          <w:cantSplit/>
        </w:trPr>
        <w:tc>
          <w:tcPr>
            <w:tcW w:type="dxa" w:w="43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[ID]</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9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864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c>
          <w:tcPr>
            <w:tcW w:type="dxa" w:w="6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[Datum]</w:t>
            </w:r>
          </w:p>
        </w:tc>
        <w:tc>
          <w:tcPr>
            <w:tcW w:type="dxa" w:w="1152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2"/>
              </w:rPr>
              <w:t>[Volledig]</w:t>
            </w:r>
          </w:p>
        </w:tc>
      </w:tr>
    </w:tbl>
    <w:p>
      <w:pPr>
        <w:spacing w:after="0"/>
      </w:pPr>
    </w:p>
    <w:p>
      <w:pPr>
        <w:pStyle w:val="Heading2"/>
        <w:keepNext/>
      </w:pPr>
      <w:r>
        <w:t>11- Koperbeoordeling en ondertekening</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80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Onderzoeksgebied</w:t>
            </w:r>
          </w:p>
        </w:tc>
        <w:tc>
          <w:tcPr>
            <w:tcW w:type="dxa" w:w="216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Besluit / bewijs</w:t>
            </w:r>
          </w:p>
        </w:tc>
        <w:tc>
          <w:tcPr>
            <w:tcW w:type="dxa" w:w="108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Eigenaar</w:t>
            </w:r>
          </w:p>
        </w:tc>
        <w:tc>
          <w:tcPr>
            <w:tcW w:type="dxa" w:w="720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Datum van de datum</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Screening en module selectie</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[Aanvaard/herzien]</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[naam / rol]</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Technische geloofwaardigheid en kwaliteit van de gegevens</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[goedgekeurd / gekwalificeerd / afgewezen]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[naam / rol]</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Reviews van de rechts-, vertrouwelijkheid- en rechten</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[Geavanceerd/voorwaarden]</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[naam / rol]</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Besluit betreffende de aanbesteding en verbeteringsplan</w:t>
            </w:r>
          </w:p>
        </w:tc>
        <w:tc>
          <w:tcPr>
            <w:tcW w:type="dxa" w:w="216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[Verdrijven / aansluiten / conditioneren / schorsen / samenwerken]</w:t>
            </w:r>
          </w:p>
        </w:tc>
        <w:tc>
          <w:tcPr>
            <w:tcW w:type="dxa" w:w="108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[naam / rol]</w:t>
            </w:r>
          </w:p>
        </w:tc>
        <w:tc>
          <w:tcPr>
            <w:tcW w:type="dxa" w:w="720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r>
        <w:trPr>
          <w:cantSplit/>
        </w:trPr>
        <w:tc>
          <w:tcPr>
            <w:tcW w:type="dxa" w:w="180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Rapportering en gebruik van claims</w:t>
            </w:r>
          </w:p>
        </w:tc>
        <w:tc>
          <w:tcPr>
            <w:tcW w:type="dxa" w:w="216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[Toegestane tekst / beperking / geen openbaar gebruik]</w:t>
            </w:r>
          </w:p>
        </w:tc>
        <w:tc>
          <w:tcPr>
            <w:tcW w:type="dxa" w:w="108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[naam / rol]</w:t>
            </w:r>
          </w:p>
        </w:tc>
        <w:tc>
          <w:tcPr>
            <w:tcW w:type="dxa" w:w="720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[Datum]</w:t>
            </w:r>
          </w:p>
        </w:tc>
      </w:tr>
    </w:tbl>
    <w:p>
      <w:pPr>
        <w:spacing w:after="0"/>
      </w:pPr>
    </w:p>
    <w:p>
      <w:pPr>
        <w:pStyle w:val="Heading2"/>
        <w:keepNext/>
      </w:pPr>
      <w:r>
        <w:t>12. Rampemappennootjes</w:t>
      </w:r>
    </w:p>
    <w:tbl>
      <w:tblPr>
        <w:tblStyle w:val="TableGrid"/>
        <w:tblW w:type="auto" w:w="0"/>
        <w:jc w:val="left"/>
        <w:tblLayout w:type="fixed"/>
        <w:tblLook w:firstColumn="1" w:firstRow="1" w:lastColumn="0" w:lastRow="0" w:noHBand="0" w:noVBand="1" w:val="04A0"/>
      </w:tblPr>
      <w:tblGrid>
        <w:gridCol w:w="3907"/>
        <w:gridCol w:w="3907"/>
        <w:gridCol w:w="3907"/>
        <w:gridCol w:w="3907"/>
      </w:tblGrid>
      <w:tr>
        <w:trPr>
          <w:tblHeader w:val="true"/>
          <w:cantSplit/>
        </w:trPr>
        <w:tc>
          <w:tcPr>
            <w:tcW w:type="dxa" w:w="118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Datafamilie</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TNFD</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GRI 101</w:t>
            </w:r>
          </w:p>
        </w:tc>
        <w:tc>
          <w:tcPr>
            <w:tcW w:type="dxa" w:w="1548000"/>
            <w:vAlign w:val="center"/>
            <w:shd w:fill="173F73"/>
            <w:tcBorders>
              <w:top w:val="single" w:sz="3" w:color="AAB7C4"/>
              <w:left w:val="single" w:sz="3" w:color="AAB7C4"/>
              <w:bottom w:val="single" w:sz="3" w:color="AAB7C4"/>
              <w:right w:val="single" w:sz="3" w:color="AAB7C4"/>
            </w:tcBorders>
          </w:tcPr>
          <w:p>
            <w:pPr>
              <w:spacing w:before="0" w:after="0" w:line="240" w:lineRule="auto"/>
            </w:pPr>
            <w:r>
              <w:rPr>
                <w:rFonts w:ascii="Arial" w:hAnsi="Arial"/>
                <w:b/>
                <w:color w:val="FFFFFF"/>
                <w:sz w:val="14"/>
              </w:rPr>
              <w:t>ESRS Voorzichtigheid</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Activiteit, grondstof en locatie</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Locatie, prioriteit en gevoelige locatiebeoordeling.</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Sites en producten en diensten in de toeleveringsketen met significante gevolgen.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De kaart is uitsluitend van toepassing op de wettelijk toepasselijke gebieden. ESRS de versie en de conclusie over de materialiteit van de entiteit.</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Afhankelijkheden, gevolgen en toestand</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Evalueren en DIRO-pad.</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Direct aanleiding tot veranderingen in biodiversiteit en ecosysteemdiensten.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De gemeenschappelijke bewijzen stellen niet op zich een dubbele materialiteit vast.</w:t>
            </w:r>
          </w:p>
        </w:tc>
      </w:tr>
      <w:tr>
        <w:trPr>
          <w:cantSplit/>
        </w:trPr>
        <w:tc>
          <w:tcPr>
            <w:tcW w:type="dxa" w:w="118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Controles, incidenten en betrokkenheid</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Risico- en impactmanagement, governance C en responsen.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Beheer van de effecten en bewijsmateriaal voor belanghebbenden.</w:t>
            </w:r>
          </w:p>
        </w:tc>
        <w:tc>
          <w:tcPr>
            <w:tcW w:type="dxa" w:w="1548000"/>
            <w:vAlign w:val="center"/>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De wettelijke, waardeketen- en datapuntvereisten blijven kader specifiek.</w:t>
            </w:r>
          </w:p>
        </w:tc>
      </w:tr>
      <w:tr>
        <w:trPr>
          <w:cantSplit/>
        </w:trPr>
        <w:tc>
          <w:tcPr>
            <w:tcW w:type="dxa" w:w="118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Metricen, doelstellingen en gegevensbeperkingen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Metricen en doelen en beperkingen op het openbaar maken.</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De gegevens en beperkingen zijn primair, secundair of gemodelleerd.</w:t>
            </w:r>
          </w:p>
        </w:tc>
        <w:tc>
          <w:tcPr>
            <w:tcW w:type="dxa" w:w="1548000"/>
            <w:vAlign w:val="center"/>
            <w:shd w:fill="F4F6F8"/>
            <w:tcBorders>
              <w:top w:val="single" w:sz="3" w:color="AAB7C4"/>
              <w:left w:val="single" w:sz="3" w:color="AAB7C4"/>
              <w:bottom w:val="single" w:sz="3" w:color="AAB7C4"/>
              <w:right w:val="single" w:sz="3" w:color="AAB7C4"/>
            </w:tcBorders>
          </w:tcPr>
          <w:p>
            <w:pPr>
              <w:spacing w:before="0" w:after="0" w:line="240" w:lineRule="auto"/>
            </w:pPr>
            <w:r>
              <w:rPr>
                <w:rFonts w:ascii="Arial" w:hAnsi="Arial"/>
                <w:sz w:val="14"/>
              </w:rPr>
              <w:t>Controleer de verslaggevingsperiode, de overgangsbepalingen en de status van de inwerkingtreding.</w:t>
            </w:r>
          </w:p>
        </w:tc>
      </w:tr>
    </w:tbl>
    <w:p>
      <w:pPr>
        <w:spacing w:after="0"/>
      </w:pPr>
    </w:p>
    <w:p>
      <w:pPr>
        <w:pStyle w:val="Heading2"/>
        <w:keepNext/>
      </w:pPr>
      <w:r>
        <w:t>13- Status en beperkingen van het instrument</w:t>
      </w:r>
    </w:p>
    <w:p>
      <w:pPr/>
      <w:r>
        <w:t>Versie 1.0. Beoordeeld op 3 augustus 2026. Deze sjabloon is een educatief hulpmiddel van LRA voor implementatie. Het is geen officiële vragenlijst van TNFD, GRI of ESRS en stelt geen naleving door leverancier of koper vast. Pas het aan de sector, locatie, contractuele rechten, toepasselijk recht, inkoopbeleid, gegevensbescherming, mededingingsrecht, due diligence op het gebied van mensenrechten en de rapportageperiode aan.</w:t>
      </w:r>
    </w:p>
    <w:sectPr w:rsidR="00FC693F" w:rsidRPr="0006063C" w:rsidSect="00034616">
      <w:headerReference w:type="default" r:id="rId9"/>
      <w:footerReference w:type="default" r:id="rId10"/>
      <w:headerReference w:type="first" r:id="rId22"/>
      <w:footerReference w:type="first" r:id="rId23"/>
      <w:pgSz w:w="16838" w:h="11906" w:orient="landscape"/>
      <w:pgMar w:top="749" w:right="605" w:bottom="749" w:left="605" w:header="198" w:footer="19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B7280"/>
        <w:sz w:val="13"/>
      </w:rPr>
      <w:t xml:space="preserve">TNFD-SUP-TOOL-001  ♬ Reviewed 3 - augustus 2026  |  </w:t>
    </w:r>
    <w: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color w:val="173F73"/>
        <w:sz w:val="13"/>
      </w:rPr>
      <w:t>LONDON REPORTING ACADEMY  ·  KENNISCENTRUM  ·  TNFD LEVERANCIERSTOOL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9" w:lineRule="auto"/>
    </w:pPr>
    <w:rPr>
      <w:rFonts w:ascii="Arial" w:hAnsi="Arial"/>
      <w:color w:val="2029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14396D"/>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4396D"/>
      <w:sz w:val="25"/>
    </w:rPr>
  </w:style>
  <w:style w:type="paragraph" w:styleId="Heading4">
    <w:name w:val="heading 4"/>
    <w:basedOn w:val="Normal"/>
    <w:next w:val="Normal"/>
    <w:link w:val="Heading4Char"/>
    <w:uiPriority w:val="9"/>
    <w:semiHidden/>
    <w:unhideWhenUsed/>
    <w:qFormat/>
    <w:rsid w:val="00FC693F"/>
    <w:pPr>
      <w:keepNext/>
      <w:keepLines/>
      <w:spacing w:before="200" w:after="80"/>
      <w:outlineLvl w:val="3"/>
    </w:pPr>
    <w:rPr>
      <w:rFonts w:asciiTheme="majorHAnsi" w:eastAsiaTheme="majorEastAsia" w:hAnsiTheme="majorHAnsi" w:cstheme="majorBidi" w:ascii="Arial" w:hAnsi="Arial"/>
      <w:b/>
      <w:bCs/>
      <w:i/>
      <w:iCs/>
      <w:color w:val="2F7DBD"/>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60" w:line="240" w:lineRule="auto" w:before="0"/>
      <w:contextualSpacing/>
    </w:pPr>
    <w:rPr>
      <w:rFonts w:asciiTheme="majorHAnsi" w:eastAsiaTheme="majorEastAsia" w:hAnsiTheme="majorHAnsi" w:cstheme="majorBidi" w:ascii="Arial" w:hAnsi="Arial"/>
      <w:b/>
      <w:color w:val="14396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rial" w:hAnsi="Arial"/>
      <w:b w:val="0"/>
      <w:i/>
      <w:iCs/>
      <w:color w:val="5D6978"/>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olor w:val="202936"/>
      <w:sz w:val="20"/>
    </w:rPr>
  </w:style>
  <w:style w:type="paragraph" w:styleId="ListBullet2">
    <w:name w:val="List Bullet 2"/>
    <w:basedOn w:val="Normal"/>
    <w:uiPriority w:val="99"/>
    <w:unhideWhenUsed/>
    <w:rsid w:val="00326F90"/>
    <w:pPr>
      <w:numPr>
        <w:numId w:val="2"/>
      </w:numPr>
      <w:spacing w:after="60"/>
      <w:contextualSpacing/>
    </w:pPr>
    <w:rPr>
      <w:rFonts w:ascii="Arial" w:hAnsi="Arial"/>
      <w:color w:val="202936"/>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rial" w:hAnsi="Arial"/>
      <w:color w:val="202936"/>
      <w:sz w:val="20"/>
    </w:rPr>
  </w:style>
  <w:style w:type="paragraph" w:styleId="ListNumber2">
    <w:name w:val="List Number 2"/>
    <w:basedOn w:val="Normal"/>
    <w:uiPriority w:val="99"/>
    <w:unhideWhenUsed/>
    <w:rsid w:val="0029639D"/>
    <w:pPr>
      <w:numPr>
        <w:numId w:val="6"/>
      </w:numPr>
      <w:spacing w:after="60"/>
      <w:contextualSpacing/>
    </w:pPr>
    <w:rPr>
      <w:rFonts w:ascii="Arial" w:hAnsi="Arial"/>
      <w:color w:val="202936"/>
      <w:sz w:val="2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keepNext w:val="0"/>
      <w:spacing w:after="140"/>
    </w:pPr>
    <w:rPr>
      <w:rFonts w:ascii="Arial" w:hAnsi="Arial"/>
      <w:i/>
      <w:color w:val="5D6978"/>
      <w:sz w:val="17"/>
    </w:rPr>
  </w:style>
  <w:style w:type="paragraph" w:customStyle="1" w:styleId="LRAAnswer">
    <w:name w:val="LRA Answer"/>
    <w:basedOn w:val="Normal"/>
    <w:pPr>
      <w:spacing w:after="100" w:line="259" w:lineRule="auto"/>
    </w:pPr>
    <w:rPr>
      <w:rFonts w:ascii="Arial" w:hAnsi="Arial"/>
      <w:b w:val="0"/>
      <w:color w:val="202936"/>
      <w:sz w:val="21"/>
    </w:rPr>
  </w:style>
  <w:style w:type="paragraph" w:customStyle="1" w:styleId="LRASmall">
    <w:name w:val="LRA Small"/>
    <w:basedOn w:val="Normal"/>
    <w:pPr>
      <w:spacing w:after="60"/>
    </w:pPr>
    <w:rPr>
      <w:rFonts w:ascii="Arial" w:hAnsi="Arial"/>
      <w:color w:val="5D6978"/>
      <w:sz w:val="17"/>
    </w:rPr>
  </w:style>
  <w:style w:type="paragraph" w:customStyle="1" w:styleId="LRASource">
    <w:name w:val="LRA Source"/>
    <w:basedOn w:val="Normal"/>
    <w:pPr>
      <w:spacing w:after="80"/>
      <w:ind w:left="259" w:hanging="259"/>
    </w:pPr>
    <w:rPr>
      <w:rFonts w:ascii="Arial" w:hAnsi="Arial"/>
      <w:color w:val="20293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3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TNFD Supplier Nature Data Questionnaire and Evidence Matrix</dc:title>
  <dc:subject>Editable supplier nature-data questionnaire, evidence matrix, confidentiality controls and improvement plan.</dc:subject>
  <dc:creator>London Reporting Academy</dc:creator>
  <cp:keywords>TNFD, nature-related disclosure, LEAP, sector guidance, London Reporting Academy</cp:keywords>
  <dc:description>Prepared and reviewed to source set current at 3 August 2026.</dc:description>
  <cp:lastModifiedBy>London Reporting Academy</cp:lastModifiedBy>
  <cp:revision>1</cp:revision>
  <dcterms:created xsi:type="dcterms:W3CDTF">2013-12-23T23:15:00Z</dcterms:created>
  <dcterms:modified xsi:type="dcterms:W3CDTF">2013-12-23T23:15:00Z</dcterms:modified>
  <cp:category/>
</cp:coreProperties>
</file>