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Layout w:type="fixed"/>
      </w:tblPr>
      <w:tblGrid>
        <w:gridCol w:w="10036"/>
      </w:tblGrid>
      <w:tr>
        <w:trPr>
          <w:trHeight w:val="4706" w:hRule="atLeast"/>
        </w:trPr>
        <w:tc>
          <w:tcPr>
            <w:tcW w:type="dxa" w:w="10036"/>
            <w:shd w:fill="173F65"/>
            <w:tcMar>
              <w:top w:w="420" w:type="dxa"/>
              <w:start w:w="420" w:type="dxa"/>
              <w:bottom w:w="380" w:type="dxa"/>
              <w:end w:w="420" w:type="dxa"/>
            </w:tcMar>
          </w:tcPr>
          <w:p>
            <w:pPr>
              <w:spacing w:before="0" w:after="160" w:line="240" w:lineRule="auto"/>
              <w:jc w:val="right"/>
            </w:pPr>
            <w:r>
              <w:drawing>
                <wp:inline xmlns:a="http://schemas.openxmlformats.org/drawingml/2006/main" xmlns:pic="http://schemas.openxmlformats.org/drawingml/2006/picture">
                  <wp:extent cx="1800000" cy="387624"/>
                  <wp:docPr id="1" name="Picture 1" descr="London Reporting Academy logo" title="London Reporting Academy logo"/>
                  <wp:cNvGraphicFramePr>
                    <a:graphicFrameLocks noChangeAspect="1"/>
                  </wp:cNvGraphicFramePr>
                  <a:graphic>
                    <a:graphicData uri="http://schemas.openxmlformats.org/drawingml/2006/picture">
                      <pic:pic>
                        <pic:nvPicPr>
                          <pic:cNvPr id="0" name="LRA_logo_white_panel.png"/>
                          <pic:cNvPicPr/>
                        </pic:nvPicPr>
                        <pic:blipFill>
                          <a:blip r:embed="rId11"/>
                          <a:stretch>
                            <a:fillRect/>
                          </a:stretch>
                        </pic:blipFill>
                        <pic:spPr>
                          <a:xfrm>
                            <a:off x="0" y="0"/>
                            <a:ext cx="1800000" cy="387624"/>
                          </a:xfrm>
                          <a:prstGeom prst="rect"/>
                        </pic:spPr>
                      </pic:pic>
                    </a:graphicData>
                  </a:graphic>
                </wp:inline>
              </w:drawing>
            </w:r>
          </w:p>
          <w:p>
            <w:pPr>
              <w:spacing w:before="320" w:after="160" w:line="240" w:lineRule="auto"/>
            </w:pPr>
            <w:r>
              <w:rPr>
                <w:rFonts w:ascii="Lato" w:hAnsi="Lato" w:eastAsia="Lato"/>
                <w:b/>
                <w:color w:val="FFFFFF"/>
                <w:sz w:val="50"/>
              </w:rPr>
              <w:t>UK SRS S2 Voorstel voor een jaarverslag</w:t>
            </w:r>
          </w:p>
          <w:p>
            <w:pPr>
              <w:spacing w:before="100" w:after="0" w:line="259" w:lineRule="auto"/>
            </w:pPr>
            <w:r>
              <w:rPr>
                <w:rFonts w:ascii="Lato" w:hAnsi="Lato" w:eastAsia="Lato"/>
                <w:color w:val="DCE9F5"/>
                <w:sz w:val="26"/>
              </w:rPr>
              <w:t>Bewerkbare structuur en opstel van aanwijzingen voor de basis van voorbereiding, vier pijlers, scenario's, GHG, financiële gevolgen, oordelen, bepalingen, kruisverwijzingen en goedkeuring</w:t>
            </w:r>
          </w:p>
        </w:tc>
      </w:tr>
    </w:tbl>
    <w:p/>
    <w:tbl>
      <w:tblPr>
        <w:tblW w:type="auto" w:w="0"/>
        <w:jc w:val="center"/>
        <w:tblLook w:firstColumn="1" w:firstRow="1" w:lastColumn="0" w:lastRow="0" w:noHBand="0" w:noVBand="1" w:val="04A0"/>
        <w:tblLayout w:type="fixed"/>
      </w:tblPr>
      <w:tblGrid>
        <w:gridCol w:w="5018"/>
        <w:gridCol w:w="5018"/>
      </w:tblGrid>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Artikel ID</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UKSRS-S2-TPL-001</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Publicietype</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Voorbeeld van het praktisch verslag</w:t>
            </w:r>
          </w:p>
        </w:tc>
      </w:tr>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Eerste publiek</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UK jaarverslag, financiën, duurzaamheid, risico's en secretariaat-teams van ondernemingen</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Jurisdictie</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Verenigd Koninkrijk</w:t>
            </w:r>
          </w:p>
        </w:tc>
      </w:tr>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Technische afsluiting</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3 - augustus 2026</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Statuten van de rapportage</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Illustratieve implementatiemontaal. Aanpassing aan de definitieve UK SRS, toepasselijke wetgeving/verordening en entiteitsspecifieke feiten.</w:t>
            </w:r>
          </w:p>
        </w:tc>
      </w:tr>
    </w:tbl>
    <w:p>
      <w:pPr>
        <w:spacing w:before="240" w:after="0" w:line="252" w:lineRule="auto"/>
        <w:jc w:val="center"/>
      </w:pPr>
      <w:r>
        <w:rPr>
          <w:rFonts w:ascii="Lato" w:hAnsi="Lato" w:eastAsia="Lato"/>
          <w:i/>
          <w:color w:val="667788"/>
          <w:sz w:val="16"/>
        </w:rPr>
        <w:t>Educatieve leidraad voor professionals. Geen juridisch advies of assurance-advies. Controleer vóór het handelen de actuele tekst van de UK SRS, de toepasselijke rapportageregels en de feiten die specifiek zijn voor de entiteit.</w:t>
      </w:r>
    </w:p>
    <w:p>
      <w:r>
        <w:br w:type="page"/>
      </w:r>
    </w:p>
    <w:tbl>
      <w:tblPr>
        <w:tblW w:type="auto" w:w="0"/>
        <w:jc w:val="center"/>
        <w:tblLook w:firstColumn="1" w:firstRow="1" w:lastColumn="0" w:lastRow="0" w:noHBand="0" w:noVBand="1" w:val="04A0"/>
        <w:tblLayout w:type="fixed"/>
      </w:tblPr>
      <w:tblGrid>
        <w:gridCol w:w="10036"/>
      </w:tblGrid>
      <w:tr>
        <w:tc>
          <w:tcPr>
            <w:tcW w:type="dxa" w:w="10036"/>
            <w:shd w:fill="EAF1F7"/>
            <w:tcMar>
              <w:top w:w="180" w:type="dxa"/>
              <w:start w:w="200" w:type="dxa"/>
              <w:bottom w:w="160" w:type="dxa"/>
              <w:end w:w="200" w:type="dxa"/>
            </w:tcMar>
            <w:tcBorders>
              <w:top w:val="single" w:sz="4" w:color="C8D2DC"/>
              <w:left w:val="single" w:sz="24" w:color="2A6F97"/>
              <w:bottom w:val="single" w:sz="4" w:color="C8D2DC"/>
              <w:right w:val="single" w:sz="4" w:color="C8D2DC"/>
            </w:tcBorders>
          </w:tcPr>
          <w:p>
            <w:pPr>
              <w:spacing w:before="0" w:after="100" w:line="240" w:lineRule="auto"/>
            </w:pPr>
            <w:r>
              <w:rPr>
                <w:rFonts w:ascii="Lato" w:hAnsi="Lato" w:eastAsia="Lato"/>
                <w:b/>
                <w:color w:val="173F65"/>
                <w:sz w:val="20"/>
              </w:rPr>
              <w:t>HOE deze tempel te gebruiken</w:t>
            </w:r>
          </w:p>
          <w:p>
            <w:pPr>
              <w:spacing w:before="0" w:after="60" w:line="269" w:lineRule="auto"/>
            </w:pPr>
            <w:r>
              <w:rPr>
                <w:rFonts w:ascii="Lato" w:hAnsi="Lato" w:eastAsia="Lato"/>
                <w:b/>
                <w:color w:val="26384A"/>
                <w:sz w:val="22"/>
              </w:rPr>
              <w:t>Vervang elke in brackets geplaatste oproep met entiteitsspecifieke, bewijsgesteunde informatie. verwijder niet-toepasselijke ontwerprichtlijnen pas nadat de toepassings- of materialiteitsbeslissing is gedocumenteerd in de openbaarmakingsmatrix. Behandelt het model niet als een officiële vorm of een conformiteitsverklaring.</w:t>
            </w:r>
          </w:p>
          <w:p>
            <w:pPr>
              <w:spacing w:before="40" w:after="0" w:line="254" w:lineRule="auto"/>
            </w:pPr>
            <w:r>
              <w:rPr>
                <w:rFonts w:ascii="Lato" w:hAnsi="Lato" w:eastAsia="Lato"/>
                <w:i/>
                <w:color w:val="667788"/>
                <w:sz w:val="17"/>
              </w:rPr>
              <w:t>Gebruik samen met de UK SRS S2 Climate Disclosure Matrix en een actueel officiële bronpakket.</w:t>
            </w:r>
          </w:p>
        </w:tc>
      </w:tr>
    </w:tbl>
    <w:p>
      <w:pPr>
        <w:spacing w:after="0"/>
      </w:pPr>
    </w:p>
    <w:p>
      <w:pPr>
        <w:pStyle w:val="Heading1"/>
      </w:pPr>
      <w:r>
        <w:t>Documentcontrole</w:t>
      </w:r>
    </w:p>
    <w:tbl>
      <w:tblPr>
        <w:tblW w:type="auto" w:w="0"/>
        <w:jc w:val="center"/>
        <w:tblLook w:firstColumn="1" w:firstRow="1" w:lastColumn="0" w:lastRow="0" w:noHBand="0" w:noVBand="1" w:val="04A0"/>
        <w:tblLayout w:type="fixed"/>
      </w:tblPr>
      <w:tblGrid>
        <w:gridCol w:w="5018"/>
        <w:gridCol w:w="5018"/>
      </w:tblGrid>
      <w:tr>
        <w:trPr>
          <w:tblHeader w:val="true"/>
        </w:trPr>
        <w:tc>
          <w:tcPr>
            <w:tcW w:type="dxa" w:w="2948"/>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Veld</w:t>
            </w:r>
          </w:p>
        </w:tc>
        <w:tc>
          <w:tcPr>
            <w:tcW w:type="dxa" w:w="6860"/>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Gecontroleerde invoer</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Entiteit</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 LEGAL / CONsolidATE REPORTING ENTITY]</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Rapporteurperiode</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 PERIOD]</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Plaats van het jaarverslag</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 STRAATEGIEVERSLAG / ANDER GENERAL DOEL FINANCIËLE VERSLAG LOCATION]</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UK Status van de SRS-rapportering</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[VOLUNTARY / CURRENT Binding ROUTE CONFIRM]</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UK Vorderingen van de SRS</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[VAN DE VAN DE DRAFT DOOR DE FINALE MATRIX EN AANKLAG]</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Voorbereid door:</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[NAME / ROLE]</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Technische beoordelaar</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[NAME / ROLE]</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Goedkeuring door de CFO</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Auditcommissie</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Goedkeuring door de raad van bestuur</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Versies en releasedatum</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[VERSION / DATE / ARCHIVE LOCATION]</w:t>
            </w:r>
          </w:p>
        </w:tc>
      </w:tr>
    </w:tbl>
    <w:p>
      <w:pPr>
        <w:spacing w:after="0"/>
      </w:pPr>
    </w:p>
    <w:p>
      <w:pPr>
        <w:pStyle w:val="Heading1"/>
      </w:pPr>
      <w:r>
        <w:t>Aanbevolen inhoud</w:t>
      </w:r>
    </w:p>
    <w:tbl>
      <w:tblPr>
        <w:tblW w:type="auto" w:w="0"/>
        <w:jc w:val="center"/>
        <w:tblLook w:firstColumn="1" w:firstRow="1" w:lastColumn="0" w:lastRow="0" w:noHBand="0" w:noVBand="1" w:val="04A0"/>
        <w:tblLayout w:type="fixed"/>
      </w:tblPr>
      <w:tblGrid>
        <w:gridCol w:w="3345"/>
        <w:gridCol w:w="3345"/>
        <w:gridCol w:w="3345"/>
      </w:tblGrid>
      <w:tr>
        <w:trPr>
          <w:tblHeader w:val="true"/>
        </w:trPr>
        <w:tc>
          <w:tcPr>
            <w:tcW w:type="dxa" w:w="567"/>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w:t>
            </w:r>
          </w:p>
        </w:tc>
        <w:tc>
          <w:tcPr>
            <w:tcW w:type="dxa" w:w="6520"/>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Afdeling</w:t>
            </w:r>
          </w:p>
        </w:tc>
        <w:tc>
          <w:tcPr>
            <w:tcW w:type="dxa" w:w="272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Werkplek / pagina 's</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Grond van voorbereiding en verklaring van naleving</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2</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Bestuur</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3</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Risico's en kansen met betrekking tot het klimaat</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4</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Strategie, overgangsactiviteiten en middelen</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5</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Scenario-analyse en klimaatbestendige ontwikkeling</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6</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Huidige en verwachte financiële gevolgen</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7</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Risicomanagement</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8</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Klimaatmetricen en -doelstellingen</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9</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GHG emissies en gefinancierde emissies</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10</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Oordelen, schattingen, bepalingen en wijzigingen</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11</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Indice van openbaarmaking en kruisverwijzingen</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bl>
    <w:p>
      <w:pPr>
        <w:spacing w:after="0"/>
      </w:pPr>
    </w:p>
    <w:p>
      <w:pPr>
        <w:pStyle w:val="Heading1"/>
      </w:pPr>
      <w:r>
        <w:t>1- basis voor voorbereiding en verklaring van naleving</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Verduidelijk maken van welke verslag is opgesteld, voor welke entiteit en periode, hoe materiële informatie is geselecteerd, waar de informatie zich bevindt en welke UK bepalingen of rapportage routes die van invloed zijn op de claim.</w:t>
            </w:r>
          </w:p>
        </w:tc>
      </w:tr>
    </w:tbl>
    <w:p>
      <w:pPr>
        <w:spacing w:after="0"/>
      </w:pPr>
    </w:p>
    <w:p>
      <w:pPr>
        <w:pStyle w:val="Heading2"/>
      </w:pPr>
      <w:r>
        <w:t>1.1 Rapporteurbasis</w:t>
      </w:r>
    </w:p>
    <w:p>
      <w:pPr>
        <w:spacing w:before="0" w:after="80" w:line="269" w:lineRule="auto"/>
      </w:pPr>
      <w:r>
        <w:rPr>
          <w:rFonts w:ascii="Lato" w:hAnsi="Lato" w:eastAsia="Lato"/>
          <w:i w:val="0"/>
          <w:color w:val="26384A"/>
          <w:sz w:val="19"/>
        </w:rPr>
        <w:t>[INSERT: rapportage-entiteit; dezelfde entiteit als de financiële overzichten; rapportageperiode; valuta en eenheden indien van toepassing; of informatie geconsolideerd is; materiële verwerving/verwijdering; klimaatspecifieke grensonderscheidingen.]</w:t>
      </w:r>
    </w:p>
    <w:p>
      <w:pPr>
        <w:pStyle w:val="Heading2"/>
      </w:pPr>
      <w:r>
        <w:t>1.2 Materialiteit</w:t>
      </w:r>
    </w:p>
    <w:p>
      <w:pPr>
        <w:spacing w:before="0" w:after="80" w:line="269" w:lineRule="auto"/>
      </w:pPr>
      <w:r>
        <w:rPr>
          <w:rFonts w:ascii="Lato" w:hAnsi="Lato" w:eastAsia="Lato"/>
          <w:i w:val="0"/>
          <w:color w:val="26384A"/>
          <w:sz w:val="19"/>
        </w:rPr>
        <w:t>[INSERT: hoe voor primaire gebruikers belangrijke risico's en kansen met betrekking tot het klimaat werden geïdentificeerd; aard en omvang; bronnen; governance; veranderingen in de voorafgaande beoordeling.]</w:t>
      </w:r>
    </w:p>
    <w:p>
      <w:pPr>
        <w:pStyle w:val="Heading2"/>
      </w:pPr>
      <w:r>
        <w:t>1.3 Gebruikte bronnen en industrieën</w:t>
      </w:r>
    </w:p>
    <w:p>
      <w:pPr>
        <w:spacing w:before="0" w:after="80" w:line="269" w:lineRule="auto"/>
      </w:pPr>
      <w:r>
        <w:rPr>
          <w:rFonts w:ascii="Lato" w:hAnsi="Lato" w:eastAsia="Lato"/>
          <w:i w:val="0"/>
          <w:color w:val="26384A"/>
          <w:sz w:val="19"/>
        </w:rPr>
        <w:t>[INSERT: UK SRS-bronnen; daadwerkelijk toegepaste industrieën en richtlijnen; door de entiteit ontwikkelde metricen; bronversie.]</w:t>
      </w:r>
    </w:p>
    <w:p>
      <w:pPr>
        <w:pStyle w:val="Heading2"/>
      </w:pPr>
      <w:r>
        <w:t>1.4 Locatie en kruisverwijzingen</w:t>
      </w:r>
    </w:p>
    <w:p>
      <w:pPr>
        <w:spacing w:before="0" w:after="80" w:line="269" w:lineRule="auto"/>
      </w:pPr>
      <w:r>
        <w:rPr>
          <w:rFonts w:ascii="Lato" w:hAnsi="Lato" w:eastAsia="Lato"/>
          <w:i w:val="0"/>
          <w:color w:val="26384A"/>
          <w:sz w:val="19"/>
        </w:rPr>
        <w:t>[INSERT: plaats van het jaarverslag; opname-per-referentiebeleid; exacte verwijzende documenten/pagina's; gelijktijdige beschikbaarheid en archiefcontroles.]</w:t>
      </w:r>
    </w:p>
    <w:p>
      <w:pPr>
        <w:pStyle w:val="Heading2"/>
      </w:pPr>
      <w:r>
        <w:t>1.5 Bepalingen en verklaring van naleving</w:t>
      </w:r>
    </w:p>
    <w:p>
      <w:pPr>
        <w:spacing w:before="0" w:after="80" w:line="269" w:lineRule="auto"/>
      </w:pPr>
      <w:r>
        <w:rPr>
          <w:rFonts w:ascii="Lato" w:hAnsi="Lato" w:eastAsia="Lato"/>
          <w:i w:val="0"/>
          <w:color w:val="26384A"/>
          <w:sz w:val="19"/>
        </w:rPr>
        <w:t>[INSERT: exact] UK SRS E3/C3/C4 of andere gebruikte bepaling; voorwaarde; informatie die wordt beïnvloed; vergelijkend effect; beperking van de verbindende route; effect op UK SRS S1S2 en alle andere IFRS claim.]</w:t>
      </w:r>
    </w:p>
    <w:p>
      <w:pPr>
        <w:pStyle w:val="Heading2"/>
      </w:pPr>
      <w:r>
        <w:t>Bewijs- en controlebewijzen</w:t>
      </w:r>
    </w:p>
    <w:p>
      <w:pPr>
        <w:pStyle w:val="ListBullet"/>
        <w:spacing w:before="0" w:after="60" w:line="259" w:lineRule="auto"/>
      </w:pPr>
      <w:r>
        <w:rPr>
          <w:rFonts w:ascii="Lato" w:hAnsi="Lato" w:eastAsia="Lato"/>
          <w:color w:val="26384A"/>
          <w:sz w:val="19"/>
        </w:rPr>
        <w:t>☐ De financiële overzichten van de rapportage-entiteit zijn niet in overeenstemming met de financiële overzichtelijke gegevens.</w:t>
      </w:r>
    </w:p>
    <w:p>
      <w:pPr>
        <w:pStyle w:val="ListBullet"/>
        <w:spacing w:before="0" w:after="60" w:line="259" w:lineRule="auto"/>
      </w:pPr>
      <w:r>
        <w:rPr>
          <w:rFonts w:ascii="Lato" w:hAnsi="Lato" w:eastAsia="Lato"/>
          <w:color w:val="26384A"/>
          <w:sz w:val="19"/>
        </w:rPr>
        <w:t>☐ Materiaal dossier goedgekeurd.</w:t>
      </w:r>
    </w:p>
    <w:p>
      <w:pPr>
        <w:pStyle w:val="ListBullet"/>
        <w:spacing w:before="0" w:after="60" w:line="259" w:lineRule="auto"/>
      </w:pPr>
      <w:r>
        <w:rPr>
          <w:rFonts w:ascii="Lato" w:hAnsi="Lato" w:eastAsia="Lato"/>
          <w:color w:val="26384A"/>
          <w:sz w:val="19"/>
        </w:rPr>
        <w:t>☐ Het bron- en industrieregister is voltooid.</w:t>
      </w:r>
    </w:p>
    <w:p>
      <w:pPr>
        <w:pStyle w:val="ListBullet"/>
        <w:spacing w:before="0" w:after="60" w:line="259" w:lineRule="auto"/>
      </w:pPr>
      <w:r>
        <w:rPr>
          <w:rFonts w:ascii="Lato" w:hAnsi="Lato" w:eastAsia="Lato"/>
          <w:color w:val="26384A"/>
          <w:sz w:val="19"/>
        </w:rPr>
        <w:t>☐ Verwijzingen getest bij afgifte.</w:t>
      </w:r>
    </w:p>
    <w:p>
      <w:pPr>
        <w:pStyle w:val="ListBullet"/>
        <w:spacing w:before="0" w:after="60" w:line="259" w:lineRule="auto"/>
      </w:pPr>
      <w:r>
        <w:rPr>
          <w:rFonts w:ascii="Lato" w:hAnsi="Lato" w:eastAsia="Lato"/>
          <w:color w:val="26384A"/>
          <w:sz w:val="19"/>
        </w:rPr>
        <w:t>☐ Goedkeuring van een memorandum inzake de verstrekking en het aanvragen.</w:t>
      </w:r>
    </w:p>
    <w:p>
      <w:pPr>
        <w:pStyle w:val="Heading1"/>
      </w:pPr>
      <w:r>
        <w:t>2- Governance</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Beschrijf de feitelijke toezicht- en beheersprocessen, niet alleen de governance structuur.</w:t>
            </w:r>
          </w:p>
        </w:tc>
      </w:tr>
    </w:tbl>
    <w:p>
      <w:pPr>
        <w:spacing w:after="0"/>
      </w:pPr>
    </w:p>
    <w:p>
      <w:pPr>
        <w:pStyle w:val="Heading2"/>
      </w:pPr>
      <w:r>
        <w:t>2.1 Toezicht van het bestuursorgaan</w:t>
      </w:r>
    </w:p>
    <w:p>
      <w:pPr>
        <w:spacing w:before="0" w:after="80" w:line="269" w:lineRule="auto"/>
      </w:pPr>
      <w:r>
        <w:rPr>
          <w:rFonts w:ascii="Lato" w:hAnsi="Lato" w:eastAsia="Lato"/>
          <w:i w:val="0"/>
          <w:color w:val="26384A"/>
          <w:sz w:val="19"/>
        </w:rPr>
        <w:t>[INSERT: mandaat van de raad/commissie; verantwoordelijkheden; informatie en frequentie; vaardigheden; strategie- en transactibeslissingen; doelwitcontrole; besluiten tijdens de periode; wijzigingen.]</w:t>
      </w:r>
    </w:p>
    <w:p>
      <w:pPr>
        <w:pStyle w:val="Heading2"/>
      </w:pPr>
      <w:r>
        <w:t>2.2 Managementrol en -controles</w:t>
      </w:r>
    </w:p>
    <w:p>
      <w:pPr>
        <w:spacing w:before="0" w:after="80" w:line="269" w:lineRule="auto"/>
      </w:pPr>
      <w:r>
        <w:rPr>
          <w:rFonts w:ascii="Lato" w:hAnsi="Lato" w:eastAsia="Lato"/>
          <w:i w:val="0"/>
          <w:color w:val="26384A"/>
          <w:sz w:val="19"/>
        </w:rPr>
        <w:t>[INSERT: benoemde managementrol; rapportagelijnen; gegevens- en controleverantwoordelijkheden; escalatie; interne comités; vertegenwoordigingen van het management.]</w:t>
      </w:r>
    </w:p>
    <w:p>
      <w:pPr>
        <w:pStyle w:val="Heading2"/>
      </w:pPr>
      <w:r>
        <w:t>2.3 Vergoeding</w:t>
      </w:r>
    </w:p>
    <w:p>
      <w:pPr>
        <w:spacing w:before="0" w:after="80" w:line="269" w:lineRule="auto"/>
      </w:pPr>
      <w:r>
        <w:rPr>
          <w:rFonts w:ascii="Lato" w:hAnsi="Lato" w:eastAsia="Lato"/>
          <w:i w:val="0"/>
          <w:color w:val="26384A"/>
          <w:sz w:val="19"/>
        </w:rPr>
        <w:t>[INSERT: of en hoe klimaatoverwegingen de vergoeding betrekken; bevolking; metric; gewicht; uitkomst; governance goedkeuring.]</w:t>
      </w:r>
    </w:p>
    <w:p>
      <w:pPr>
        <w:pStyle w:val="Heading2"/>
      </w:pPr>
      <w:r>
        <w:t>Bewijs- en controlebewijzen</w:t>
      </w:r>
    </w:p>
    <w:p>
      <w:pPr>
        <w:pStyle w:val="ListBullet"/>
        <w:spacing w:before="0" w:after="60" w:line="259" w:lineRule="auto"/>
      </w:pPr>
      <w:r>
        <w:rPr>
          <w:rFonts w:ascii="Lato" w:hAnsi="Lato" w:eastAsia="Lato"/>
          <w:color w:val="26384A"/>
          <w:sz w:val="19"/>
        </w:rPr>
        <w:t>☐ Mandaten en commissievoorwaarden gelden.</w:t>
      </w:r>
    </w:p>
    <w:p>
      <w:pPr>
        <w:pStyle w:val="ListBullet"/>
        <w:spacing w:before="0" w:after="60" w:line="259" w:lineRule="auto"/>
      </w:pPr>
      <w:r>
        <w:rPr>
          <w:rFonts w:ascii="Lato" w:hAnsi="Lato" w:eastAsia="Lato"/>
          <w:color w:val="26384A"/>
          <w:sz w:val="19"/>
        </w:rPr>
        <w:t>☐ De documenten van het bestuur en de notulen ondersteunen claims.</w:t>
      </w:r>
    </w:p>
    <w:p>
      <w:pPr>
        <w:pStyle w:val="ListBullet"/>
        <w:spacing w:before="0" w:after="60" w:line="259" w:lineRule="auto"/>
      </w:pPr>
      <w:r>
        <w:rPr>
          <w:rFonts w:ascii="Lato" w:hAnsi="Lato" w:eastAsia="Lato"/>
          <w:color w:val="26384A"/>
          <w:sz w:val="19"/>
        </w:rPr>
        <w:t>☐ Beslissingen van de managementrol passen bij de werkelijke werking.</w:t>
      </w:r>
    </w:p>
    <w:p>
      <w:pPr>
        <w:pStyle w:val="ListBullet"/>
        <w:spacing w:before="0" w:after="60" w:line="259" w:lineRule="auto"/>
      </w:pPr>
      <w:r>
        <w:rPr>
          <w:rFonts w:ascii="Lato" w:hAnsi="Lato" w:eastAsia="Lato"/>
          <w:color w:val="26384A"/>
          <w:sz w:val="19"/>
        </w:rPr>
        <w:t>☐ Vergoedingsgegevens zijn samengesteld en goedgekeurd.</w:t>
      </w:r>
    </w:p>
    <w:p>
      <w:pPr>
        <w:pStyle w:val="Heading1"/>
      </w:pPr>
      <w:r>
        <w:t>3- Risico's en kansen met betrekking tot het klimaat</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Identificeer materiële fysieke en transitierisico's en klimaatmogelijkheden, hun tijdhorisontjes, concentraties en transmissierijzen.</w:t>
            </w:r>
          </w:p>
        </w:tc>
      </w:tr>
    </w:tbl>
    <w:p>
      <w:pPr>
        <w:spacing w:after="0"/>
      </w:pPr>
    </w:p>
    <w:p>
      <w:pPr>
        <w:pStyle w:val="Heading2"/>
      </w:pPr>
      <w:r>
        <w:t>3.1 Tijdhorisont</w:t>
      </w:r>
    </w:p>
    <w:p>
      <w:pPr>
        <w:spacing w:before="0" w:after="80" w:line="269" w:lineRule="auto"/>
      </w:pPr>
      <w:r>
        <w:rPr>
          <w:rFonts w:ascii="Lato" w:hAnsi="Lato" w:eastAsia="Lato"/>
          <w:i w:val="0"/>
          <w:color w:val="26384A"/>
          <w:sz w:val="19"/>
        </w:rPr>
        <w:t>[INSERT: gedateerde kort-, middellange- en langetermijnhorisontelen en verband met planningcycli, activalevens en strategische beslissingen.]</w:t>
      </w:r>
    </w:p>
    <w:p>
      <w:pPr>
        <w:pStyle w:val="Heading2"/>
      </w:pPr>
      <w:r>
        <w:t>3.2 Tabel voor materieel</w:t>
      </w:r>
    </w:p>
    <w:p>
      <w:pPr>
        <w:spacing w:before="0" w:after="80" w:line="269" w:lineRule="auto"/>
      </w:pPr>
      <w:r>
        <w:rPr>
          <w:rFonts w:ascii="Lato" w:hAnsi="Lato" w:eastAsia="Lato"/>
          <w:i w:val="0"/>
          <w:color w:val="26384A"/>
          <w:sz w:val="19"/>
        </w:rPr>
        <w:t>[INSERTABEL: ID; risico/gelegenheid; fysieke/transitie/gelegenheid, tijdhorisont; geografie/activiteit/waardeketen; waarschijnlijkheid/grootte; financiële weg; eigenaar; monitoringindicator.]</w:t>
      </w:r>
    </w:p>
    <w:p>
      <w:pPr>
        <w:pStyle w:val="Heading2"/>
      </w:pPr>
      <w:r>
        <w:t>3.3 Veranderingen ten opzichte van de vorige periode</w:t>
      </w:r>
    </w:p>
    <w:p>
      <w:pPr>
        <w:spacing w:before="0" w:after="80" w:line="269" w:lineRule="auto"/>
      </w:pPr>
      <w:r>
        <w:rPr>
          <w:rFonts w:ascii="Lato" w:hAnsi="Lato" w:eastAsia="Lato"/>
          <w:i w:val="0"/>
          <w:color w:val="26384A"/>
          <w:sz w:val="19"/>
        </w:rPr>
        <w:t>[INSERT: nieuwe, gewijzigde, herprioritaire of verwijderde zaken en redenen.]</w:t>
      </w:r>
    </w:p>
    <w:p>
      <w:pPr>
        <w:pStyle w:val="Heading2"/>
      </w:pPr>
      <w:r>
        <w:t>Bewijs- en controlebewijzen</w:t>
      </w:r>
    </w:p>
    <w:p>
      <w:pPr>
        <w:pStyle w:val="ListBullet"/>
        <w:spacing w:before="0" w:after="60" w:line="259" w:lineRule="auto"/>
      </w:pPr>
      <w:r>
        <w:rPr>
          <w:rFonts w:ascii="Lato" w:hAnsi="Lato" w:eastAsia="Lato"/>
          <w:color w:val="26384A"/>
          <w:sz w:val="19"/>
        </w:rPr>
        <w:t>☐ Risico- en kansenregister voltooid.</w:t>
      </w:r>
    </w:p>
    <w:p>
      <w:pPr>
        <w:pStyle w:val="ListBullet"/>
        <w:spacing w:before="0" w:after="60" w:line="259" w:lineRule="auto"/>
      </w:pPr>
      <w:r>
        <w:rPr>
          <w:rFonts w:ascii="Lato" w:hAnsi="Lato" w:eastAsia="Lato"/>
          <w:color w:val="26384A"/>
          <w:sz w:val="19"/>
        </w:rPr>
        <w:t>☐ Materialiteit redenatie behouden.</w:t>
      </w:r>
    </w:p>
    <w:p>
      <w:pPr>
        <w:pStyle w:val="ListBullet"/>
        <w:spacing w:before="0" w:after="60" w:line="259" w:lineRule="auto"/>
      </w:pPr>
      <w:r>
        <w:rPr>
          <w:rFonts w:ascii="Lato" w:hAnsi="Lato" w:eastAsia="Lato"/>
          <w:color w:val="26384A"/>
          <w:sz w:val="19"/>
        </w:rPr>
        <w:t>☐ Concentraties en verbindingen in de waardeketen getest.</w:t>
      </w:r>
    </w:p>
    <w:p>
      <w:pPr>
        <w:pStyle w:val="ListBullet"/>
        <w:spacing w:before="0" w:after="60" w:line="259" w:lineRule="auto"/>
      </w:pPr>
      <w:r>
        <w:rPr>
          <w:rFonts w:ascii="Lato" w:hAnsi="Lato" w:eastAsia="Lato"/>
          <w:color w:val="26384A"/>
          <w:sz w:val="19"/>
        </w:rPr>
        <w:t>☐ Financiële routes gemappeerd.</w:t>
      </w:r>
    </w:p>
    <w:p>
      <w:pPr>
        <w:pStyle w:val="Heading1"/>
      </w:pPr>
      <w:r>
        <w:t>4- Strategie, overgangsactiviteiten en middelen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Verklaar hoe materiële klimaatzaken invloed hebben op het bedrijfsmodel, de waardeketen, besluitvorming en de toewijzing van middelen.</w:t>
            </w:r>
          </w:p>
        </w:tc>
      </w:tr>
    </w:tbl>
    <w:p>
      <w:pPr>
        <w:spacing w:after="0"/>
      </w:pPr>
    </w:p>
    <w:p>
      <w:pPr>
        <w:pStyle w:val="Heading2"/>
      </w:pPr>
      <w:r>
        <w:t>4.1 Bedrijfsmodel en effecten van de waardeketen</w:t>
      </w:r>
    </w:p>
    <w:p>
      <w:pPr>
        <w:spacing w:before="0" w:after="80" w:line="269" w:lineRule="auto"/>
      </w:pPr>
      <w:r>
        <w:rPr>
          <w:rFonts w:ascii="Lato" w:hAnsi="Lato" w:eastAsia="Lato"/>
          <w:i w:val="0"/>
          <w:color w:val="26384A"/>
          <w:sz w:val="19"/>
        </w:rPr>
        <w:t>[INSERT: aangetaste producten, diensten, activa, markten, leveranciers, klanten, financiering en afhankelijkheden.]</w:t>
      </w:r>
    </w:p>
    <w:p>
      <w:pPr>
        <w:pStyle w:val="Heading2"/>
      </w:pPr>
      <w:r>
        <w:t>4.2 Strategische reactie</w:t>
      </w:r>
    </w:p>
    <w:p>
      <w:pPr>
        <w:spacing w:before="0" w:after="80" w:line="269" w:lineRule="auto"/>
      </w:pPr>
      <w:r>
        <w:rPr>
          <w:rFonts w:ascii="Lato" w:hAnsi="Lato" w:eastAsia="Lato"/>
          <w:i w:val="0"/>
          <w:color w:val="26384A"/>
          <w:sz w:val="19"/>
        </w:rPr>
        <w:t>[INSERT: acties, afwijkingen, directe/indirekte beperking, aanpassing, kansen, wijzigingen in de strategie en vooruitgang.]</w:t>
      </w:r>
    </w:p>
    <w:p>
      <w:pPr>
        <w:pStyle w:val="Heading2"/>
      </w:pPr>
      <w:r>
        <w:t>4.3 Overgangsplan waar er een bestaat</w:t>
      </w:r>
    </w:p>
    <w:p>
      <w:pPr>
        <w:spacing w:before="0" w:after="80" w:line="269" w:lineRule="auto"/>
      </w:pPr>
      <w:r>
        <w:rPr>
          <w:rFonts w:ascii="Lato" w:hAnsi="Lato" w:eastAsia="Lato"/>
          <w:i w:val="0"/>
          <w:color w:val="26384A"/>
          <w:sz w:val="19"/>
        </w:rPr>
        <w:t>[INSERT: status van het plan, doelstellingen, doelen, acties, middelen, veronderstellingen, afhankelijkheden, governance en vooruitgang.</w:t>
      </w:r>
    </w:p>
    <w:p>
      <w:pPr>
        <w:pStyle w:val="Heading2"/>
      </w:pPr>
      <w:r>
        <w:t>4.4 Hulpbronnen en kapitaalinrichting</w:t>
      </w:r>
    </w:p>
    <w:p>
      <w:pPr>
        <w:spacing w:before="0" w:after="80" w:line="269" w:lineRule="auto"/>
      </w:pPr>
      <w:r>
        <w:rPr>
          <w:rFonts w:ascii="Lato" w:hAnsi="Lato" w:eastAsia="Lato"/>
          <w:i w:val="0"/>
          <w:color w:val="26384A"/>
          <w:sz w:val="19"/>
        </w:rPr>
        <w:t>[INSERT: uitgebrachte, vastgestelde, goedgekeurde, geplande en ambitieuze capex/opex; financieringsbron; periode; voorwaarden; afhankelijkheden.]</w:t>
      </w:r>
    </w:p>
    <w:p>
      <w:pPr>
        <w:pStyle w:val="Heading2"/>
      </w:pPr>
      <w:r>
        <w:t>Bewijs- en controlebewijzen</w:t>
      </w:r>
    </w:p>
    <w:p>
      <w:pPr>
        <w:pStyle w:val="ListBullet"/>
        <w:spacing w:before="0" w:after="60" w:line="259" w:lineRule="auto"/>
      </w:pPr>
      <w:r>
        <w:rPr>
          <w:rFonts w:ascii="Lato" w:hAnsi="Lato" w:eastAsia="Lato"/>
          <w:color w:val="26384A"/>
          <w:sz w:val="19"/>
        </w:rPr>
        <w:t>☐ Acties en middelen die zijn samengebracht met de financiering van plannen.</w:t>
      </w:r>
    </w:p>
    <w:p>
      <w:pPr>
        <w:pStyle w:val="ListBullet"/>
        <w:spacing w:before="0" w:after="60" w:line="259" w:lineRule="auto"/>
      </w:pPr>
      <w:r>
        <w:rPr>
          <w:rFonts w:ascii="Lato" w:hAnsi="Lato" w:eastAsia="Lato"/>
          <w:color w:val="26384A"/>
          <w:sz w:val="19"/>
        </w:rPr>
        <w:t>☐ De claims voor het overgangsplan komen overeen met het goedgekeurde plan.</w:t>
      </w:r>
    </w:p>
    <w:p>
      <w:pPr>
        <w:pStyle w:val="ListBullet"/>
        <w:spacing w:before="0" w:after="60" w:line="259" w:lineRule="auto"/>
      </w:pPr>
      <w:r>
        <w:rPr>
          <w:rFonts w:ascii="Lato" w:hAnsi="Lato" w:eastAsia="Lato"/>
          <w:color w:val="26384A"/>
          <w:sz w:val="19"/>
        </w:rPr>
        <w:t>☐ Afhankelijkheden en conditionaliteit zijn zichtbaar.</w:t>
      </w:r>
    </w:p>
    <w:p>
      <w:pPr>
        <w:pStyle w:val="ListBullet"/>
        <w:spacing w:before="0" w:after="60" w:line="259" w:lineRule="auto"/>
      </w:pPr>
      <w:r>
        <w:rPr>
          <w:rFonts w:ascii="Lato" w:hAnsi="Lato" w:eastAsia="Lato"/>
          <w:color w:val="26384A"/>
          <w:sz w:val="19"/>
        </w:rPr>
        <w:t>☐ De vooruitgang omvat vertraging en veranderingen.</w:t>
      </w:r>
    </w:p>
    <w:p>
      <w:pPr>
        <w:pStyle w:val="Heading1"/>
      </w:pPr>
      <w:r>
        <w:t>5- Scenario-analyse en klimaatbestendige ontwikkeling</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Verklaar een evenredige scenario-methode en een evenwichtige beoordeling van kwetsbaarheid en aanpassingsvermogen.</w:t>
            </w:r>
          </w:p>
        </w:tc>
      </w:tr>
    </w:tbl>
    <w:p>
      <w:pPr>
        <w:spacing w:after="0"/>
      </w:pPr>
    </w:p>
    <w:p>
      <w:pPr>
        <w:pStyle w:val="Heading2"/>
      </w:pPr>
      <w:r>
        <w:t>5.1 Methode en toepassingsgebied</w:t>
      </w:r>
    </w:p>
    <w:p>
      <w:pPr>
        <w:spacing w:before="0" w:after="80" w:line="269" w:lineRule="auto"/>
      </w:pPr>
      <w:r>
        <w:rPr>
          <w:rFonts w:ascii="Lato" w:hAnsi="Lato" w:eastAsia="Lato"/>
          <w:i w:val="0"/>
          <w:color w:val="26384A"/>
          <w:sz w:val="19"/>
        </w:rPr>
        <w:t>[INSERT: doel; materiële risico's/mogelijkheden; scenario's/versieën; fysieke en overgangspaden; geografische gebieden/ activa/portefeuilles; tijdhorisontalen; kwalitatieve/ kwantitatieve methode.]</w:t>
      </w:r>
    </w:p>
    <w:p>
      <w:pPr>
        <w:pStyle w:val="Heading2"/>
      </w:pPr>
      <w:r>
        <w:t>5.2 Veronderstellingen en beperkingen</w:t>
      </w:r>
    </w:p>
    <w:p>
      <w:pPr>
        <w:spacing w:before="0" w:after="80" w:line="269" w:lineRule="auto"/>
      </w:pPr>
      <w:r>
        <w:rPr>
          <w:rFonts w:ascii="Lato" w:hAnsi="Lato" w:eastAsia="Lato"/>
          <w:i w:val="0"/>
          <w:color w:val="26384A"/>
          <w:sz w:val="19"/>
        </w:rPr>
        <w:t>[INSERT: temperatuur, beleid, technologie, vraag, prijs, risico, financiële veronderstellingen; uitsluitingen; gegevensbeperkingen; onzekerheid van het model.]</w:t>
      </w:r>
    </w:p>
    <w:p>
      <w:pPr>
        <w:pStyle w:val="Heading2"/>
      </w:pPr>
      <w:r>
        <w:t>5.3 Resultaten en gebruik van beslissingen</w:t>
      </w:r>
    </w:p>
    <w:p>
      <w:pPr>
        <w:spacing w:before="0" w:after="80" w:line="269" w:lineRule="auto"/>
      </w:pPr>
      <w:r>
        <w:rPr>
          <w:rFonts w:ascii="Lato" w:hAnsi="Lato" w:eastAsia="Lato"/>
          <w:i w:val="0"/>
          <w:color w:val="26384A"/>
          <w:sz w:val="19"/>
        </w:rPr>
        <w:t>[INSERT: kwetsbaarheden, gevoeligheden, kansen, drempels, strategie/capex/risicode beslissingen en veranderingen.]</w:t>
      </w:r>
    </w:p>
    <w:p>
      <w:pPr>
        <w:pStyle w:val="Heading2"/>
      </w:pPr>
      <w:r>
        <w:t>5.4 Aanpassingsvermogen</w:t>
      </w:r>
    </w:p>
    <w:p>
      <w:pPr>
        <w:spacing w:before="0" w:after="80" w:line="269" w:lineRule="auto"/>
      </w:pPr>
      <w:r>
        <w:rPr>
          <w:rFonts w:ascii="Lato" w:hAnsi="Lato" w:eastAsia="Lato"/>
          <w:i w:val="0"/>
          <w:color w:val="26384A"/>
          <w:sz w:val="19"/>
        </w:rPr>
        <w:t>[INSERT: strategische opties; flexibiliteit van activa; financiële capaciteit; financiering; levertijden; afhankelijkheden; besluitdrijvende factoren; residuele blootstelling; onzekerheid.]</w:t>
      </w:r>
    </w:p>
    <w:p>
      <w:pPr>
        <w:pStyle w:val="Heading2"/>
      </w:pPr>
      <w:r>
        <w:t>Bewijs- en controlebewijzen</w:t>
      </w:r>
    </w:p>
    <w:p>
      <w:pPr>
        <w:pStyle w:val="ListBullet"/>
        <w:spacing w:before="0" w:after="60" w:line="259" w:lineRule="auto"/>
      </w:pPr>
      <w:r>
        <w:rPr>
          <w:rFonts w:ascii="Lato" w:hAnsi="Lato" w:eastAsia="Lato"/>
          <w:color w:val="26384A"/>
          <w:sz w:val="19"/>
        </w:rPr>
        <w:t>☐ Scenario bron en versie gecontroleerd.</w:t>
      </w:r>
    </w:p>
    <w:p>
      <w:pPr>
        <w:pStyle w:val="ListBullet"/>
        <w:spacing w:before="0" w:after="60" w:line="259" w:lineRule="auto"/>
      </w:pPr>
      <w:r>
        <w:rPr>
          <w:rFonts w:ascii="Lato" w:hAnsi="Lato" w:eastAsia="Lato"/>
          <w:color w:val="26384A"/>
          <w:sz w:val="19"/>
        </w:rPr>
        <w:t>☐ Veronderstellingen die zijn verzoend met de financieringsplaning.</w:t>
      </w:r>
    </w:p>
    <w:p>
      <w:pPr>
        <w:pStyle w:val="ListBullet"/>
        <w:spacing w:before="0" w:after="60" w:line="259" w:lineRule="auto"/>
      </w:pPr>
      <w:r>
        <w:rPr>
          <w:rFonts w:ascii="Lato" w:hAnsi="Lato" w:eastAsia="Lato"/>
          <w:color w:val="26384A"/>
          <w:sz w:val="19"/>
        </w:rPr>
        <w:t>☐ De governance uitdaging is geregistreerd.</w:t>
      </w:r>
    </w:p>
    <w:p>
      <w:pPr>
        <w:pStyle w:val="ListBullet"/>
        <w:spacing w:before="0" w:after="60" w:line="259" w:lineRule="auto"/>
      </w:pPr>
      <w:r>
        <w:rPr>
          <w:rFonts w:ascii="Lato" w:hAnsi="Lato" w:eastAsia="Lato"/>
          <w:color w:val="26384A"/>
          <w:sz w:val="19"/>
        </w:rPr>
        <w:t>☐ De formulering van veerkracht vermijdt onbevestigde zekerheid.</w:t>
      </w:r>
    </w:p>
    <w:p>
      <w:pPr>
        <w:pStyle w:val="Heading1"/>
      </w:pPr>
      <w:r>
        <w:t>6- Huidige en verwachte financiële gevolgen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Verbind elke belangrijke klimaatvraagstuk aan de huidige en verwachte effecten op financiële positie, prestaties en kasstromen.</w:t>
            </w:r>
          </w:p>
        </w:tc>
      </w:tr>
    </w:tbl>
    <w:p>
      <w:pPr>
        <w:spacing w:after="0"/>
      </w:pPr>
    </w:p>
    <w:p>
      <w:pPr>
        <w:pStyle w:val="Heading2"/>
      </w:pPr>
      <w:r>
        <w:t>6.1 Financiële brug</w:t>
      </w:r>
    </w:p>
    <w:p>
      <w:pPr>
        <w:spacing w:before="0" w:after="80" w:line="269" w:lineRule="auto"/>
      </w:pPr>
      <w:r>
        <w:rPr>
          <w:rFonts w:ascii="Lato" w:hAnsi="Lato" w:eastAsia="Lato"/>
          <w:i w:val="0"/>
          <w:color w:val="26384A"/>
          <w:sz w:val="19"/>
        </w:rPr>
        <w:t>[INSERTABEL: klimaatmaterieel; lopende/verwachte; inkomsten; kosten; activa; passiva; kasstromen; financiering; kapitaal; tijdhorisont; bedrag/bereik/kwaliteit; veronderstellingen; aangetaste posten in de financiële overzichten.]</w:t>
      </w:r>
    </w:p>
    <w:p>
      <w:pPr>
        <w:pStyle w:val="Heading2"/>
      </w:pPr>
      <w:r>
        <w:t>6.2 kwantitatieve behandeling</w:t>
      </w:r>
    </w:p>
    <w:p>
      <w:pPr>
        <w:spacing w:before="0" w:after="80" w:line="269" w:lineRule="auto"/>
      </w:pPr>
      <w:r>
        <w:rPr>
          <w:rFonts w:ascii="Lato" w:hAnsi="Lato" w:eastAsia="Lato"/>
          <w:i w:val="0"/>
          <w:color w:val="26384A"/>
          <w:sz w:val="19"/>
        </w:rPr>
        <w:t>[INSERT: eenmalige bedragen, intervals of percentages; definities van de noemer; gecombineerde informatie; dubbel tellencontroles.]</w:t>
      </w:r>
    </w:p>
    <w:p>
      <w:pPr>
        <w:pStyle w:val="Heading2"/>
      </w:pPr>
      <w:r>
        <w:t>6.3 Qualitatieve behandeling of verlichting</w:t>
      </w:r>
    </w:p>
    <w:p>
      <w:pPr>
        <w:spacing w:before="0" w:after="80" w:line="269" w:lineRule="auto"/>
      </w:pPr>
      <w:r>
        <w:rPr>
          <w:rFonts w:ascii="Lato" w:hAnsi="Lato" w:eastAsia="Lato"/>
          <w:i w:val="0"/>
          <w:color w:val="26384A"/>
          <w:sz w:val="19"/>
        </w:rPr>
        <w:t>[INSERT: waarom een afzonderlijke kwantitatie niet nuttig is onder de gespecificeerde voorwaarden; aangetaste lijnposten; vervangende kwalitatieve en gecombineerde informatie.]</w:t>
      </w:r>
    </w:p>
    <w:p>
      <w:pPr>
        <w:pStyle w:val="Heading2"/>
      </w:pPr>
      <w:r>
        <w:t>6.4 Consistentie en onzekerheid</w:t>
      </w:r>
    </w:p>
    <w:p>
      <w:pPr>
        <w:spacing w:before="0" w:after="80" w:line="269" w:lineRule="auto"/>
      </w:pPr>
      <w:r>
        <w:rPr>
          <w:rFonts w:ascii="Lato" w:hAnsi="Lato" w:eastAsia="Lato"/>
          <w:i w:val="0"/>
          <w:color w:val="26384A"/>
          <w:sz w:val="19"/>
        </w:rPr>
        <w:t>[INSERT: verzoening met de jaarrekening, de begroting, de prognoses en scenario's; verschillen in meetgrondslag; gevoeligheid; onzekerheid en beperkingen.]</w:t>
      </w:r>
    </w:p>
    <w:p>
      <w:pPr>
        <w:pStyle w:val="Heading2"/>
      </w:pPr>
      <w:r>
        <w:t>Bewijs- en controlebewijzen</w:t>
      </w:r>
    </w:p>
    <w:p>
      <w:pPr>
        <w:pStyle w:val="ListBullet"/>
        <w:spacing w:before="0" w:after="60" w:line="259" w:lineRule="auto"/>
      </w:pPr>
      <w:r>
        <w:rPr>
          <w:rFonts w:ascii="Lato" w:hAnsi="Lato" w:eastAsia="Lato"/>
          <w:color w:val="26384A"/>
          <w:sz w:val="19"/>
        </w:rPr>
        <w:t>☐ De CFO-uitdaging is voltooid.</w:t>
      </w:r>
    </w:p>
    <w:p>
      <w:pPr>
        <w:pStyle w:val="ListBullet"/>
        <w:spacing w:before="0" w:after="60" w:line="259" w:lineRule="auto"/>
      </w:pPr>
      <w:r>
        <w:rPr>
          <w:rFonts w:ascii="Lato" w:hAnsi="Lato" w:eastAsia="Lato"/>
          <w:color w:val="26384A"/>
          <w:sz w:val="19"/>
        </w:rPr>
        <w:t>☐ Lijn-item mapping behouden.</w:t>
      </w:r>
    </w:p>
    <w:p>
      <w:pPr>
        <w:pStyle w:val="ListBullet"/>
        <w:spacing w:before="0" w:after="60" w:line="259" w:lineRule="auto"/>
      </w:pPr>
      <w:r>
        <w:rPr>
          <w:rFonts w:ascii="Lato" w:hAnsi="Lato" w:eastAsia="Lato"/>
          <w:color w:val="26384A"/>
          <w:sz w:val="19"/>
        </w:rPr>
        <w:t>☐ De hoeveelheid/bereik is reproduceerbaar.</w:t>
      </w:r>
    </w:p>
    <w:p>
      <w:pPr>
        <w:pStyle w:val="ListBullet"/>
        <w:spacing w:before="0" w:after="60" w:line="259" w:lineRule="auto"/>
      </w:pPr>
      <w:r>
        <w:rPr>
          <w:rFonts w:ascii="Lato" w:hAnsi="Lato" w:eastAsia="Lato"/>
          <w:color w:val="26384A"/>
          <w:sz w:val="19"/>
        </w:rPr>
        <w:t>☐ Elke kwalitatieve behandeling die is goedgekeurd volgens de exacte criteria.</w:t>
      </w:r>
    </w:p>
    <w:p>
      <w:pPr>
        <w:pStyle w:val="Heading1"/>
      </w:pPr>
      <w:r>
        <w:t>7Risicomanagement</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Beschrijf klimaatspecifieke processen en bewijs van integratie in het algemene risicobeheer.</w:t>
            </w:r>
          </w:p>
        </w:tc>
      </w:tr>
    </w:tbl>
    <w:p>
      <w:pPr>
        <w:spacing w:after="0"/>
      </w:pPr>
    </w:p>
    <w:p>
      <w:pPr>
        <w:pStyle w:val="Heading2"/>
      </w:pPr>
      <w:r>
        <w:t>7.1 Identificatie en beoordeling</w:t>
      </w:r>
    </w:p>
    <w:p>
      <w:pPr>
        <w:spacing w:before="0" w:after="80" w:line="269" w:lineRule="auto"/>
      </w:pPr>
      <w:r>
        <w:rPr>
          <w:rFonts w:ascii="Lato" w:hAnsi="Lato" w:eastAsia="Lato"/>
          <w:i w:val="0"/>
          <w:color w:val="26384A"/>
          <w:sz w:val="19"/>
        </w:rPr>
        <w:t>[INSERT: proces, input, gegevensbronnen, scenario'sgebruik, waarschijnlijkheid/grootte, kwetsbaarheid en beoordeling van kansen.]</w:t>
      </w:r>
    </w:p>
    <w:p>
      <w:pPr>
        <w:pStyle w:val="Heading2"/>
      </w:pPr>
      <w:r>
        <w:t>7.2 Prioriteit en monitoring</w:t>
      </w:r>
    </w:p>
    <w:p>
      <w:pPr>
        <w:spacing w:before="0" w:after="80" w:line="269" w:lineRule="auto"/>
      </w:pPr>
      <w:r>
        <w:rPr>
          <w:rFonts w:ascii="Lato" w:hAnsi="Lato" w:eastAsia="Lato"/>
          <w:i w:val="0"/>
          <w:color w:val="26384A"/>
          <w:sz w:val="19"/>
        </w:rPr>
        <w:t>[INSERT: drempels, risicovolle, vergelijking met andere risico's, eigenaars, indicatoren, triggers en escalatie.]</w:t>
      </w:r>
    </w:p>
    <w:p>
      <w:pPr>
        <w:pStyle w:val="Heading2"/>
      </w:pPr>
      <w:r>
        <w:t>7.3 Integratie en veranderingen in het ERM</w:t>
      </w:r>
    </w:p>
    <w:p>
      <w:pPr>
        <w:spacing w:before="0" w:after="80" w:line="269" w:lineRule="auto"/>
      </w:pPr>
      <w:r>
        <w:rPr>
          <w:rFonts w:ascii="Lato" w:hAnsi="Lato" w:eastAsia="Lato"/>
          <w:i w:val="0"/>
          <w:color w:val="26384A"/>
          <w:sz w:val="19"/>
        </w:rPr>
        <w:t>[INSERT: gemeenschappelijke taxonomie/systeem; comité-stroming; besluiten; wijzigingen in vergelijking met de vorige periode; verschillen tussen risico- en kansenprocessen.]</w:t>
      </w:r>
    </w:p>
    <w:p>
      <w:pPr>
        <w:pStyle w:val="Heading2"/>
      </w:pPr>
      <w:r>
        <w:t>Bewijs- en controlebewijzen</w:t>
      </w:r>
    </w:p>
    <w:p>
      <w:pPr>
        <w:pStyle w:val="ListBullet"/>
        <w:spacing w:before="0" w:after="60" w:line="259" w:lineRule="auto"/>
      </w:pPr>
      <w:r>
        <w:rPr>
          <w:rFonts w:ascii="Lato" w:hAnsi="Lato" w:eastAsia="Lato"/>
          <w:color w:val="26384A"/>
          <w:sz w:val="19"/>
        </w:rPr>
        <w:t>☐ ERM-systeemrecords ondersteunen narraties.</w:t>
      </w:r>
    </w:p>
    <w:p>
      <w:pPr>
        <w:pStyle w:val="ListBullet"/>
        <w:spacing w:before="0" w:after="60" w:line="259" w:lineRule="auto"/>
      </w:pPr>
      <w:r>
        <w:rPr>
          <w:rFonts w:ascii="Lato" w:hAnsi="Lato" w:eastAsia="Lato"/>
          <w:color w:val="26384A"/>
          <w:sz w:val="19"/>
        </w:rPr>
        <w:t>☐ De prioriteit ten opzichte van andere risico's is zichtbaar.</w:t>
      </w:r>
    </w:p>
    <w:p>
      <w:pPr>
        <w:pStyle w:val="ListBullet"/>
        <w:spacing w:before="0" w:after="60" w:line="259" w:lineRule="auto"/>
      </w:pPr>
      <w:r>
        <w:rPr>
          <w:rFonts w:ascii="Lato" w:hAnsi="Lato" w:eastAsia="Lato"/>
          <w:color w:val="26384A"/>
          <w:sz w:val="19"/>
        </w:rPr>
        <w:t>☐ Het proces van de mogelijkheid is gecontroleerd.</w:t>
      </w:r>
    </w:p>
    <w:p>
      <w:pPr>
        <w:pStyle w:val="ListBullet"/>
        <w:spacing w:before="0" w:after="60" w:line="259" w:lineRule="auto"/>
      </w:pPr>
      <w:r>
        <w:rPr>
          <w:rFonts w:ascii="Lato" w:hAnsi="Lato" w:eastAsia="Lato"/>
          <w:color w:val="26384A"/>
          <w:sz w:val="19"/>
        </w:rPr>
        <w:t>☐ De veranderingen zijn gedocumenteerd.</w:t>
      </w:r>
    </w:p>
    <w:p>
      <w:pPr>
        <w:pStyle w:val="Heading1"/>
      </w:pPr>
      <w:r>
        <w:t>8- Klimaatmetricen en -doelstellingen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Voorstellen van sector-gebaseerde en bedrijfsspecifieke metricen met methoden, vergelijkingen en doelprestaties.</w:t>
            </w:r>
          </w:p>
        </w:tc>
      </w:tr>
    </w:tbl>
    <w:p>
      <w:pPr>
        <w:spacing w:after="0"/>
      </w:pPr>
    </w:p>
    <w:p>
      <w:pPr>
        <w:pStyle w:val="Heading2"/>
      </w:pPr>
      <w:r>
        <w:t>8.1 Metricatabel</w:t>
      </w:r>
    </w:p>
    <w:p>
      <w:pPr>
        <w:spacing w:before="0" w:after="80" w:line="269" w:lineRule="auto"/>
      </w:pPr>
      <w:r>
        <w:rPr>
          <w:rFonts w:ascii="Lato" w:hAnsi="Lato" w:eastAsia="Lato"/>
          <w:i w:val="0"/>
          <w:color w:val="26384A"/>
          <w:sz w:val="19"/>
        </w:rPr>
        <w:t>[INSERT: GHG; blootstelling aan overgangsrisken; blootstelling aan fysiek risico; kansen; kapitaalontplooiing; interne koolstofprijs; vergoeding; industriegebaseerde metricen; entiteitsspecifieke metricen.]</w:t>
      </w:r>
    </w:p>
    <w:p>
      <w:pPr>
        <w:pStyle w:val="Heading2"/>
      </w:pPr>
      <w:r>
        <w:t>8.2 Methoden en schattingen</w:t>
      </w:r>
    </w:p>
    <w:p>
      <w:pPr>
        <w:spacing w:before="0" w:after="80" w:line="269" w:lineRule="auto"/>
      </w:pPr>
      <w:r>
        <w:rPr>
          <w:rFonts w:ascii="Lato" w:hAnsi="Lato" w:eastAsia="Lato"/>
          <w:i w:val="0"/>
          <w:color w:val="26384A"/>
          <w:sz w:val="19"/>
        </w:rPr>
        <w:t>[INSERT: definitie, eenheid, formule, grens, periode, bron, aannames, schattingen, beperkingen, wijzigingen en vergelijkende behandeling.]</w:t>
      </w:r>
    </w:p>
    <w:p>
      <w:pPr>
        <w:pStyle w:val="Heading2"/>
      </w:pPr>
      <w:r>
        <w:t>8.3 Informatie over de industrie</w:t>
      </w:r>
    </w:p>
    <w:p>
      <w:pPr>
        <w:spacing w:before="0" w:after="80" w:line="269" w:lineRule="auto"/>
      </w:pPr>
      <w:r>
        <w:rPr>
          <w:rFonts w:ascii="Lato" w:hAnsi="Lato" w:eastAsia="Lato"/>
          <w:i w:val="0"/>
          <w:color w:val="26384A"/>
          <w:sz w:val="19"/>
        </w:rPr>
        <w:t>[INSERT: geïdentificeerde industrieën; onderzochte en gebruikte bronnen; geselecteerde/geadapteerde/ondernemingsontwikkelde metricen; redenering voor niet-gebruik.]</w:t>
      </w:r>
    </w:p>
    <w:p>
      <w:pPr>
        <w:pStyle w:val="Heading2"/>
      </w:pPr>
      <w:r>
        <w:t>8.4 Doelstellingen en prestaties</w:t>
      </w:r>
    </w:p>
    <w:p>
      <w:pPr>
        <w:spacing w:before="0" w:after="80" w:line="269" w:lineRule="auto"/>
      </w:pPr>
      <w:r>
        <w:rPr>
          <w:rFonts w:ascii="Lato" w:hAnsi="Lato" w:eastAsia="Lato"/>
          <w:i w:val="0"/>
          <w:color w:val="26384A"/>
          <w:sz w:val="19"/>
        </w:rPr>
        <w:t>[INSERT: wettelijke/vrijwillige status; doelwit; meetricum; reikwijdte; basisperiode; doeltijdsperiode; mijlpalen; absolute/intensiteit; bruto/netto; validatie; herzieningen; werkelijke prestaties; gemiste mijlpellen en reactie.]</w:t>
      </w:r>
    </w:p>
    <w:p>
      <w:pPr>
        <w:pStyle w:val="Heading2"/>
      </w:pPr>
      <w:r>
        <w:t>Bewijs- en controlebewijzen</w:t>
      </w:r>
    </w:p>
    <w:p>
      <w:pPr>
        <w:pStyle w:val="ListBullet"/>
        <w:spacing w:before="0" w:after="60" w:line="259" w:lineRule="auto"/>
      </w:pPr>
      <w:r>
        <w:rPr>
          <w:rFonts w:ascii="Lato" w:hAnsi="Lato" w:eastAsia="Lato"/>
          <w:color w:val="26384A"/>
          <w:sz w:val="19"/>
        </w:rPr>
        <w:t>☐ Data- woordenboek goedgekeurd.</w:t>
      </w:r>
    </w:p>
    <w:p>
      <w:pPr>
        <w:pStyle w:val="ListBullet"/>
        <w:spacing w:before="0" w:after="60" w:line="259" w:lineRule="auto"/>
      </w:pPr>
      <w:r>
        <w:rPr>
          <w:rFonts w:ascii="Lato" w:hAnsi="Lato" w:eastAsia="Lato"/>
          <w:color w:val="26384A"/>
          <w:sz w:val="19"/>
        </w:rPr>
        <w:t>☐ Uitleg van bron/industrie voltooid.</w:t>
      </w:r>
    </w:p>
    <w:p>
      <w:pPr>
        <w:pStyle w:val="ListBullet"/>
        <w:spacing w:before="0" w:after="60" w:line="259" w:lineRule="auto"/>
      </w:pPr>
      <w:r>
        <w:rPr>
          <w:rFonts w:ascii="Lato" w:hAnsi="Lato" w:eastAsia="Lato"/>
          <w:color w:val="26384A"/>
          <w:sz w:val="19"/>
        </w:rPr>
        <w:t>☐ Doelgrenzen zijn verwezenlijkt.</w:t>
      </w:r>
    </w:p>
    <w:p>
      <w:pPr>
        <w:pStyle w:val="ListBullet"/>
        <w:spacing w:before="0" w:after="60" w:line="259" w:lineRule="auto"/>
      </w:pPr>
      <w:r>
        <w:rPr>
          <w:rFonts w:ascii="Lato" w:hAnsi="Lato" w:eastAsia="Lato"/>
          <w:color w:val="26384A"/>
          <w:sz w:val="19"/>
        </w:rPr>
        <w:t>☐ Prestaties en herziening onafhankelijk beoordeeld.</w:t>
      </w:r>
    </w:p>
    <w:p>
      <w:pPr>
        <w:pStyle w:val="Heading1"/>
      </w:pPr>
      <w:r>
        <w:t>9. GHG emissies en gefinancierde emissies</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Een transparante brutoverschrijving en toepasselijke informatie over gefinancierde emissies verstrekken zonder het netting van koolstofcredits.</w:t>
            </w:r>
          </w:p>
        </w:tc>
      </w:tr>
    </w:tbl>
    <w:p>
      <w:pPr>
        <w:spacing w:after="0"/>
      </w:pPr>
    </w:p>
    <w:p>
      <w:pPr>
        <w:pStyle w:val="Heading2"/>
      </w:pPr>
      <w:r>
        <w:t>9.1 GHG tafel</w:t>
      </w:r>
    </w:p>
    <w:p>
      <w:pPr>
        <w:spacing w:before="0" w:after="80" w:line="269" w:lineRule="auto"/>
      </w:pPr>
      <w:r>
        <w:rPr>
          <w:rFonts w:ascii="Lato" w:hAnsi="Lato" w:eastAsia="Lato"/>
          <w:i w:val="0"/>
          <w:color w:val="26384A"/>
          <w:sz w:val="19"/>
        </w:rPr>
        <w:t>[INSERT: absolute bruto omvang 1, omvang 2 op locatie gebaseerd en omvang 3Tonne; CO2e; geconsolideerde groep/andere inbeleggingsonderneming; vergelijkingen.]</w:t>
      </w:r>
    </w:p>
    <w:p>
      <w:pPr>
        <w:pStyle w:val="Heading2"/>
      </w:pPr>
      <w:r>
        <w:t>9.2 Organisatiebegrensingen en -methode</w:t>
      </w:r>
    </w:p>
    <w:p>
      <w:pPr>
        <w:spacing w:before="0" w:after="80" w:line="269" w:lineRule="auto"/>
      </w:pPr>
      <w:r>
        <w:rPr>
          <w:rFonts w:ascii="Lato" w:hAnsi="Lato" w:eastAsia="Lato"/>
          <w:i w:val="0"/>
          <w:color w:val="26384A"/>
          <w:sz w:val="19"/>
        </w:rPr>
        <w:t>[INSERT: consolidatiemethode; behandeling van dochterondernemingen, geassocieerde ondernemingen, vennootschappen, huurovereenkomsten, overnames/verwijzingen; rechtsgebied; GHG Protocolgebruik.]</w:t>
      </w:r>
    </w:p>
    <w:p>
      <w:pPr>
        <w:pStyle w:val="Heading2"/>
      </w:pPr>
      <w:r>
        <w:t>9.3 Omvang 2</w:t>
      </w:r>
    </w:p>
    <w:p>
      <w:pPr>
        <w:spacing w:before="0" w:after="80" w:line="269" w:lineRule="auto"/>
      </w:pPr>
      <w:r>
        <w:rPr>
          <w:rFonts w:ascii="Lato" w:hAnsi="Lato" w:eastAsia="Lato"/>
          <w:i w:val="0"/>
          <w:color w:val="26384A"/>
          <w:sz w:val="19"/>
        </w:rPr>
        <w:t>[INSERT: locatiegebaseerde bedrag; contractuele instrumenten; vernieuwbare overeenkomsten/certificaten en bewijs.]</w:t>
      </w:r>
    </w:p>
    <w:p>
      <w:pPr>
        <w:pStyle w:val="Heading2"/>
      </w:pPr>
      <w:r>
        <w:t>9.4 Omvang 3</w:t>
      </w:r>
    </w:p>
    <w:p>
      <w:pPr>
        <w:spacing w:before="0" w:after="80" w:line="269" w:lineRule="auto"/>
      </w:pPr>
      <w:r>
        <w:rPr>
          <w:rFonts w:ascii="Lato" w:hAnsi="Lato" w:eastAsia="Lato"/>
          <w:i w:val="0"/>
          <w:color w:val="26384A"/>
          <w:sz w:val="19"/>
        </w:rPr>
        <w:t>[INSERT: alle 15 de betrokken categorieën; relevante categorieën; methode; input; primaire/secondêre gegevens; schattingen; beperkingen; herbeoordeling en verbeteringsplan.]</w:t>
      </w:r>
    </w:p>
    <w:p>
      <w:pPr>
        <w:pStyle w:val="Heading2"/>
      </w:pPr>
      <w:r>
        <w:t>9.5 Gefinancierde emissies indien van toepassing</w:t>
      </w:r>
    </w:p>
    <w:p>
      <w:pPr>
        <w:spacing w:before="0" w:after="80" w:line="269" w:lineRule="auto"/>
      </w:pPr>
      <w:r>
        <w:rPr>
          <w:rFonts w:ascii="Lato" w:hAnsi="Lato" w:eastAsia="Lato"/>
          <w:i w:val="0"/>
          <w:color w:val="26384A"/>
          <w:sz w:val="19"/>
        </w:rPr>
        <w:t>[INSERT: activaclassen, bedrag, noemer, dekking, uitsluitingen, brancheclassificatie, methodologie, aannames en uitleg B59A indien gebruikt.]</w:t>
      </w:r>
    </w:p>
    <w:p>
      <w:pPr>
        <w:pStyle w:val="Heading2"/>
      </w:pPr>
      <w:r>
        <w:t>9.6 CO2-kredieten</w:t>
      </w:r>
    </w:p>
    <w:p>
      <w:pPr>
        <w:spacing w:before="0" w:after="80" w:line="269" w:lineRule="auto"/>
      </w:pPr>
      <w:r>
        <w:rPr>
          <w:rFonts w:ascii="Lato" w:hAnsi="Lato" w:eastAsia="Lato"/>
          <w:i w:val="0"/>
          <w:color w:val="26384A"/>
          <w:sz w:val="19"/>
        </w:rPr>
        <w:t>[INSERT: geplande afhankelijkheid van de nettogelen; schema, type, verwijdering/vermindering, kwaliteitsattributen, verificatie en pensioenstatus.</w:t>
      </w:r>
    </w:p>
    <w:p>
      <w:pPr>
        <w:pStyle w:val="Heading2"/>
      </w:pPr>
      <w:r>
        <w:t>Bewijs- en controlebewijzen</w:t>
      </w:r>
    </w:p>
    <w:p>
      <w:pPr>
        <w:pStyle w:val="ListBullet"/>
        <w:spacing w:before="0" w:after="60" w:line="259" w:lineRule="auto"/>
      </w:pPr>
      <w:r>
        <w:rPr>
          <w:rFonts w:ascii="Lato" w:hAnsi="Lato" w:eastAsia="Lato"/>
          <w:color w:val="26384A"/>
          <w:sz w:val="19"/>
        </w:rPr>
        <w:t>☐ GHG De grens is verzoend.</w:t>
      </w:r>
    </w:p>
    <w:p>
      <w:pPr>
        <w:pStyle w:val="ListBullet"/>
        <w:spacing w:before="0" w:after="60" w:line="259" w:lineRule="auto"/>
      </w:pPr>
      <w:r>
        <w:rPr>
          <w:rFonts w:ascii="Lato" w:hAnsi="Lato" w:eastAsia="Lato"/>
          <w:color w:val="26384A"/>
          <w:sz w:val="19"/>
        </w:rPr>
        <w:t>☐ Factoren en GWP-versie gecontroleerd.</w:t>
      </w:r>
    </w:p>
    <w:p>
      <w:pPr>
        <w:pStyle w:val="ListBullet"/>
        <w:spacing w:before="0" w:after="60" w:line="259" w:lineRule="auto"/>
      </w:pPr>
      <w:r>
        <w:rPr>
          <w:rFonts w:ascii="Lato" w:hAnsi="Lato" w:eastAsia="Lato"/>
          <w:color w:val="26384A"/>
          <w:sz w:val="19"/>
        </w:rPr>
        <w:t>☐ Omvang 3 De volledige beoordeling is voltooid.</w:t>
      </w:r>
    </w:p>
    <w:p>
      <w:pPr>
        <w:pStyle w:val="ListBullet"/>
        <w:spacing w:before="0" w:after="60" w:line="259" w:lineRule="auto"/>
      </w:pPr>
      <w:r>
        <w:rPr>
          <w:rFonts w:ascii="Lato" w:hAnsi="Lato" w:eastAsia="Lato"/>
          <w:color w:val="26384A"/>
          <w:sz w:val="19"/>
        </w:rPr>
        <w:t>☐ Tijdstip voor gefinancierde emissies en goedgekeurde B59A.</w:t>
      </w:r>
    </w:p>
    <w:p>
      <w:pPr>
        <w:pStyle w:val="ListBullet"/>
        <w:spacing w:before="0" w:after="60" w:line="259" w:lineRule="auto"/>
      </w:pPr>
      <w:r>
        <w:rPr>
          <w:rFonts w:ascii="Lato" w:hAnsi="Lato" w:eastAsia="Lato"/>
          <w:color w:val="26384A"/>
          <w:sz w:val="19"/>
        </w:rPr>
        <w:t>☐ Bruto voorraad niet vernett.</w:t>
      </w:r>
    </w:p>
    <w:p>
      <w:pPr>
        <w:pStyle w:val="Heading1"/>
      </w:pPr>
      <w:r>
        <w:t>10- Oordelen, schattingen, bepalingen en wijzigingen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Maak belangrijke technische beslissingen en onzekerheden zichtbaar.</w:t>
            </w:r>
          </w:p>
        </w:tc>
      </w:tr>
    </w:tbl>
    <w:p>
      <w:pPr>
        <w:spacing w:after="0"/>
      </w:pPr>
    </w:p>
    <w:p>
      <w:pPr>
        <w:pStyle w:val="Heading2"/>
      </w:pPr>
      <w:r>
        <w:t>10.1 Belangrijke uitspraken</w:t>
      </w:r>
    </w:p>
    <w:p>
      <w:pPr>
        <w:spacing w:before="0" w:after="80" w:line="269" w:lineRule="auto"/>
      </w:pPr>
      <w:r>
        <w:rPr>
          <w:rFonts w:ascii="Lato" w:hAnsi="Lato" w:eastAsia="Lato"/>
          <w:i w:val="0"/>
          <w:color w:val="26384A"/>
          <w:sz w:val="19"/>
        </w:rPr>
        <w:t>[INSERT: materieel belang, grenzen, scenario-methode, industriebronnen, behandeling van financiële effecten, doel- en voorzieningsbesluiten.]</w:t>
      </w:r>
    </w:p>
    <w:p>
      <w:pPr>
        <w:pStyle w:val="Heading2"/>
      </w:pPr>
      <w:r>
        <w:t>10.2 Meting onzekerheid</w:t>
      </w:r>
    </w:p>
    <w:p>
      <w:pPr>
        <w:spacing w:before="0" w:after="80" w:line="269" w:lineRule="auto"/>
      </w:pPr>
      <w:r>
        <w:rPr>
          <w:rFonts w:ascii="Lato" w:hAnsi="Lato" w:eastAsia="Lato"/>
          <w:i w:val="0"/>
          <w:color w:val="26384A"/>
          <w:sz w:val="19"/>
        </w:rPr>
        <w:t>[INSERT: materiaalschattingen, bereik, modelbeperkingen, gevoeligheid, kwaliteit van de bron en verwachte verbetering.]</w:t>
      </w:r>
    </w:p>
    <w:p>
      <w:pPr>
        <w:pStyle w:val="Heading2"/>
      </w:pPr>
      <w:r>
        <w:t>10.3 Veranderingen en fouten</w:t>
      </w:r>
    </w:p>
    <w:p>
      <w:pPr>
        <w:spacing w:before="0" w:after="80" w:line="269" w:lineRule="auto"/>
      </w:pPr>
      <w:r>
        <w:rPr>
          <w:rFonts w:ascii="Lato" w:hAnsi="Lato" w:eastAsia="Lato"/>
          <w:i w:val="0"/>
          <w:color w:val="26384A"/>
          <w:sz w:val="19"/>
        </w:rPr>
        <w:t>[INSERT: methodologie, schatting, grens, factor, doelstelling, vergelijkende herziening of fout; reden; effect en goedkeuring.]</w:t>
      </w:r>
    </w:p>
    <w:p>
      <w:pPr>
        <w:pStyle w:val="Heading2"/>
      </w:pPr>
      <w:r>
        <w:t>10.4 UK bepalingen</w:t>
      </w:r>
    </w:p>
    <w:p>
      <w:pPr>
        <w:spacing w:before="0" w:after="80" w:line="269" w:lineRule="auto"/>
      </w:pPr>
      <w:r>
        <w:rPr>
          <w:rFonts w:ascii="Lato" w:hAnsi="Lato" w:eastAsia="Lato"/>
          <w:i w:val="0"/>
          <w:color w:val="26384A"/>
          <w:sz w:val="19"/>
        </w:rPr>
        <w:t>[TABEL INSER: bepaling; voorwaarde; termijn; getroffen informatie; vervangende openbaarmaking; vergelijkend effect; claim-effect; goedkeuring.]</w:t>
      </w:r>
    </w:p>
    <w:p>
      <w:pPr>
        <w:pStyle w:val="Heading2"/>
      </w:pPr>
      <w:r>
        <w:t>Bewijs- en controlebewijzen</w:t>
      </w:r>
    </w:p>
    <w:p>
      <w:pPr>
        <w:pStyle w:val="ListBullet"/>
        <w:spacing w:before="0" w:after="60" w:line="259" w:lineRule="auto"/>
      </w:pPr>
      <w:r>
        <w:rPr>
          <w:rFonts w:ascii="Lato" w:hAnsi="Lato" w:eastAsia="Lato"/>
          <w:color w:val="26384A"/>
          <w:sz w:val="19"/>
        </w:rPr>
        <w:t>☐ De beoordelings- en schattingsregisters zijn samengesteld.</w:t>
      </w:r>
    </w:p>
    <w:p>
      <w:pPr>
        <w:pStyle w:val="ListBullet"/>
        <w:spacing w:before="0" w:after="60" w:line="259" w:lineRule="auto"/>
      </w:pPr>
      <w:r>
        <w:rPr>
          <w:rFonts w:ascii="Lato" w:hAnsi="Lato" w:eastAsia="Lato"/>
          <w:color w:val="26384A"/>
          <w:sz w:val="19"/>
        </w:rPr>
        <w:t>☐ Veranderingen correct ingedeeld.</w:t>
      </w:r>
    </w:p>
    <w:p>
      <w:pPr>
        <w:pStyle w:val="ListBullet"/>
        <w:spacing w:before="0" w:after="60" w:line="259" w:lineRule="auto"/>
      </w:pPr>
      <w:r>
        <w:rPr>
          <w:rFonts w:ascii="Lato" w:hAnsi="Lato" w:eastAsia="Lato"/>
          <w:color w:val="26384A"/>
          <w:sz w:val="19"/>
        </w:rPr>
        <w:t>☐ Gebruik van voorzieningen naast de conformiteitsverklaring.</w:t>
      </w:r>
    </w:p>
    <w:p>
      <w:pPr>
        <w:pStyle w:val="ListBullet"/>
        <w:spacing w:before="0" w:after="60" w:line="259" w:lineRule="auto"/>
      </w:pPr>
      <w:r>
        <w:rPr>
          <w:rFonts w:ascii="Lato" w:hAnsi="Lato" w:eastAsia="Lato"/>
          <w:color w:val="26384A"/>
          <w:sz w:val="19"/>
        </w:rPr>
        <w:t>☐ Foutencorrectie goedgekeurd.</w:t>
      </w:r>
    </w:p>
    <w:p>
      <w:pPr>
        <w:pStyle w:val="Heading1"/>
      </w:pPr>
      <w:r>
        <w:t>11- Indice van openbaarmaking en kruisverwijzingen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Een gecontroleerde kaart van elke materiële vereiste tot de plaats van het verslag en het ondersteunende technische dossier.</w:t>
            </w:r>
          </w:p>
        </w:tc>
      </w:tr>
    </w:tbl>
    <w:p>
      <w:pPr>
        <w:spacing w:after="0"/>
      </w:pPr>
    </w:p>
    <w:p>
      <w:pPr>
        <w:pStyle w:val="Heading2"/>
      </w:pPr>
      <w:r>
        <w:t>11.1 Indice van openbaarmaking</w:t>
      </w:r>
    </w:p>
    <w:p>
      <w:pPr>
        <w:spacing w:before="0" w:after="80" w:line="269" w:lineRule="auto"/>
      </w:pPr>
      <w:r>
        <w:rPr>
          <w:rFonts w:ascii="Lato" w:hAnsi="Lato" w:eastAsia="Lato"/>
          <w:i w:val="0"/>
          <w:color w:val="26384A"/>
          <w:sz w:val="19"/>
        </w:rPr>
        <w:t>[INSERTTABEL: vereiste-ID; UK paragraaf; status; rapportpagina/locatie; kruisverwijzing; aanbod; bewijslijst; beoordelaar.]</w:t>
      </w:r>
    </w:p>
    <w:p>
      <w:pPr>
        <w:pStyle w:val="Heading2"/>
      </w:pPr>
      <w:r>
        <w:t>11.2 Verslag over de kruisverwijzingsvrijstelling</w:t>
      </w:r>
    </w:p>
    <w:p>
      <w:pPr>
        <w:spacing w:before="0" w:after="80" w:line="269" w:lineRule="auto"/>
      </w:pPr>
      <w:r>
        <w:rPr>
          <w:rFonts w:ascii="Lato" w:hAnsi="Lato" w:eastAsia="Lato"/>
          <w:i w:val="0"/>
          <w:color w:val="26384A"/>
          <w:sz w:val="19"/>
        </w:rPr>
        <w:t>[INSERT: exact document/pagina/URL; vrijgavetijd; toegangsvoorwaarden; versie; archieflocatie; verantwoordelijke persoon.]</w:t>
      </w:r>
    </w:p>
    <w:p>
      <w:pPr>
        <w:pStyle w:val="Heading2"/>
      </w:pPr>
      <w:r>
        <w:t>11.3 Verwante UK Verklaringen</w:t>
      </w:r>
    </w:p>
    <w:p>
      <w:pPr>
        <w:spacing w:before="0" w:after="80" w:line="269" w:lineRule="auto"/>
      </w:pPr>
      <w:r>
        <w:rPr>
          <w:rFonts w:ascii="Lato" w:hAnsi="Lato" w:eastAsia="Lato"/>
          <w:i w:val="0"/>
          <w:color w:val="26384A"/>
          <w:sz w:val="19"/>
        </w:rPr>
        <w:t>[INSERT: NFSIS, SECR en huidige FCA-informatie; overlappende en verzoeningsnoot.]</w:t>
      </w:r>
    </w:p>
    <w:p>
      <w:pPr>
        <w:pStyle w:val="Heading2"/>
      </w:pPr>
      <w:r>
        <w:t>Bewijs- en controlebewijzen</w:t>
      </w:r>
    </w:p>
    <w:p>
      <w:pPr>
        <w:pStyle w:val="ListBullet"/>
        <w:spacing w:before="0" w:after="60" w:line="259" w:lineRule="auto"/>
      </w:pPr>
      <w:r>
        <w:rPr>
          <w:rFonts w:ascii="Lato" w:hAnsi="Lato" w:eastAsia="Lato"/>
          <w:color w:val="26384A"/>
          <w:sz w:val="19"/>
        </w:rPr>
        <w:t>☐ Geen gebroken of generieke verwijzingen.</w:t>
      </w:r>
    </w:p>
    <w:p>
      <w:pPr>
        <w:pStyle w:val="ListBullet"/>
        <w:spacing w:before="0" w:after="60" w:line="259" w:lineRule="auto"/>
      </w:pPr>
      <w:r>
        <w:rPr>
          <w:rFonts w:ascii="Lato" w:hAnsi="Lato" w:eastAsia="Lato"/>
          <w:color w:val="26384A"/>
          <w:sz w:val="19"/>
        </w:rPr>
        <w:t>☐ Geverwezen informatie die tegelijkertijd wordt vrijgegeven.</w:t>
      </w:r>
    </w:p>
    <w:p>
      <w:pPr>
        <w:pStyle w:val="ListBullet"/>
        <w:spacing w:before="0" w:after="60" w:line="259" w:lineRule="auto"/>
      </w:pPr>
      <w:r>
        <w:rPr>
          <w:rFonts w:ascii="Lato" w:hAnsi="Lato" w:eastAsia="Lato"/>
          <w:color w:val="26384A"/>
          <w:sz w:val="19"/>
        </w:rPr>
        <w:t>☐ Dynamische bronnen gesloten of gearchieveerd.</w:t>
      </w:r>
    </w:p>
    <w:p>
      <w:pPr>
        <w:pStyle w:val="ListBullet"/>
        <w:spacing w:before="0" w:after="60" w:line="259" w:lineRule="auto"/>
      </w:pPr>
      <w:r>
        <w:rPr>
          <w:rFonts w:ascii="Lato" w:hAnsi="Lato" w:eastAsia="Lato"/>
          <w:color w:val="26384A"/>
          <w:sz w:val="19"/>
        </w:rPr>
        <w:t>☐ De in het kader van de maatregelen vastgestelde voorwaarden blijven verschillend.</w:t>
      </w:r>
    </w:p>
    <w:p>
      <w:pPr>
        <w:pStyle w:val="Heading1"/>
      </w:pPr>
      <w:r>
        <w:t>Eindbestuur en goedkeuring van het bestuur</w:t>
      </w:r>
    </w:p>
    <w:tbl>
      <w:tblPr>
        <w:tblW w:type="auto" w:w="0"/>
        <w:jc w:val="center"/>
        <w:tblLook w:firstColumn="1" w:firstRow="1" w:lastColumn="0" w:lastRow="0" w:noHBand="0" w:noVBand="1" w:val="04A0"/>
        <w:tblLayout w:type="fixed"/>
      </w:tblPr>
      <w:tblGrid>
        <w:gridCol w:w="2509"/>
        <w:gridCol w:w="2509"/>
        <w:gridCol w:w="2509"/>
        <w:gridCol w:w="2509"/>
      </w:tblGrid>
      <w:tr>
        <w:trPr>
          <w:tblHeader w:val="true"/>
        </w:trPr>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Poort</w:t>
            </w:r>
          </w:p>
        </w:tc>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Naam / lichaam</w:t>
            </w:r>
          </w:p>
        </w:tc>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Besluit / datum</w:t>
            </w:r>
          </w:p>
        </w:tc>
        <w:tc>
          <w:tcPr>
            <w:tcW w:type="dxa" w:w="2665"/>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Open actie</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Certificering van gegevenshouder</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Technische herziening</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CFO / financiële consistentie</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Juridische / vennootschapssecretaris</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Interne controle / voorbereidheidsbeoordeling</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Aanbeveling van de controlecommissie</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Goedkeuring door de raad van bestuur</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Certificering van vrijlating</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bl>
    <w:p>
      <w:pPr>
        <w:spacing w:after="0"/>
      </w:pPr>
    </w:p>
    <w:tbl>
      <w:tblPr>
        <w:tblW w:type="auto" w:w="0"/>
        <w:jc w:val="center"/>
        <w:tblLook w:firstColumn="1" w:firstRow="1" w:lastColumn="0" w:lastRow="0" w:noHBand="0" w:noVBand="1" w:val="04A0"/>
        <w:tblLayout w:type="fixed"/>
      </w:tblPr>
      <w:tblGrid>
        <w:gridCol w:w="10036"/>
      </w:tblGrid>
      <w:tr>
        <w:trPr>
          <w:cantSplit/>
        </w:trPr>
        <w:tc>
          <w:tcPr>
            <w:tcW w:type="dxa" w:w="10036"/>
            <w:shd w:fill="FFF2CC"/>
            <w:tcMar>
              <w:top w:w="120" w:type="dxa"/>
              <w:start w:w="150" w:type="dxa"/>
              <w:bottom w:w="120" w:type="dxa"/>
              <w:end w:w="150" w:type="dxa"/>
            </w:tcMar>
            <w:tcBorders>
              <w:left w:val="single" w:sz="18" w:color="7F6000"/>
            </w:tcBorders>
          </w:tcPr>
          <w:p>
            <w:pPr>
              <w:spacing w:before="0" w:after="60" w:line="240" w:lineRule="auto"/>
            </w:pPr>
            <w:r>
              <w:rPr>
                <w:rFonts w:ascii="Lato" w:hAnsi="Lato" w:eastAsia="Lato"/>
                <w:b/>
                <w:color w:val="7F6000"/>
                <w:sz w:val="17"/>
              </w:rPr>
              <w:t>FINAL LIMITATION</w:t>
            </w:r>
          </w:p>
          <w:p>
            <w:pPr>
              <w:spacing w:before="0" w:after="0" w:line="259" w:lineRule="auto"/>
            </w:pPr>
            <w:r>
              <w:rPr>
                <w:rFonts w:ascii="Lato" w:hAnsi="Lato" w:eastAsia="Lato"/>
                <w:b/>
                <w:color w:val="7F6000"/>
                <w:sz w:val="18"/>
              </w:rPr>
              <w:t>Illustratieve opstellen vervangen de finale niet. UK SRS-normen, entiteitsspecifieke beslissingen inzake de materialiteit en toepasselijkheid, juridisch advies, interne controles of onafhankelijke verzekering.</w:t>
            </w:r>
          </w:p>
        </w:tc>
      </w:tr>
    </w:tbl>
    <w:p>
      <w:pPr>
        <w:spacing w:after="0"/>
      </w:pPr>
    </w:p>
    <w:sectPr w:rsidR="00FC693F" w:rsidRPr="0006063C" w:rsidSect="00034616">
      <w:headerReference w:type="default" r:id="rId9"/>
      <w:footerReference w:type="default" r:id="rId10"/>
      <w:pgSz w:w="11906" w:h="16838"/>
      <w:pgMar w:top="879" w:right="935" w:bottom="822" w:left="935" w:header="255" w:footer="25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jc w:val="center"/>
      <w:tblLayout w:type="fixed"/>
    </w:tblPr>
    <w:tblGrid>
      <w:gridCol w:w="3345"/>
      <w:gridCol w:w="3345"/>
      <w:gridCol w:w="3345"/>
    </w:tblGrid>
    <w:tr>
      <w:tc>
        <w:tcPr>
          <w:tcW w:type="dxa" w:w="3628"/>
          <w:tcMar>
            <w:top w:w="15" w:type="dxa"/>
            <w:start w:w="0" w:type="dxa"/>
            <w:bottom w:w="0" w:type="dxa"/>
            <w:end w:w="0" w:type="dxa"/>
          </w:tcMar>
          <w:tcBorders>
            <w:top w:val="single" w:sz="6" w:color="C8D2DC"/>
          </w:tcBorders>
        </w:tcPr>
        <w:p>
          <w:pPr>
            <w:spacing w:before="0" w:after="0" w:line="240" w:lineRule="auto"/>
          </w:pPr>
          <w:r>
            <w:rPr>
              <w:rFonts w:ascii="Lato" w:hAnsi="Lato" w:eastAsia="Lato"/>
              <w:color w:val="667788"/>
              <w:sz w:val="15"/>
            </w:rPr>
            <w:t>UKSRS-S2-TPL-001  · Versie 1.0</w:t>
          </w:r>
        </w:p>
      </w:tc>
      <w:tc>
        <w:tcPr>
          <w:tcW w:type="dxa" w:w="3685"/>
          <w:tcMar>
            <w:top w:w="15" w:type="dxa"/>
            <w:start w:w="0" w:type="dxa"/>
            <w:bottom w:w="0" w:type="dxa"/>
            <w:end w:w="0" w:type="dxa"/>
          </w:tcMar>
          <w:tcBorders>
            <w:top w:val="single" w:sz="6" w:color="C8D2DC"/>
          </w:tcBorders>
        </w:tcPr>
        <w:p>
          <w:pPr>
            <w:spacing w:before="0" w:after="0" w:line="240" w:lineRule="auto"/>
            <w:jc w:val="center"/>
          </w:pPr>
          <w:r>
            <w:rPr>
              <w:rFonts w:ascii="Lato" w:hAnsi="Lato" w:eastAsia="Lato"/>
              <w:color w:val="667788"/>
              <w:sz w:val="15"/>
            </w:rPr>
            <w:t>Technische afsluiting: 3 - augustus 2026</w:t>
          </w:r>
        </w:p>
      </w:tc>
      <w:tc>
        <w:tcPr>
          <w:tcW w:type="dxa" w:w="2721"/>
          <w:tcMar>
            <w:top w:w="15" w:type="dxa"/>
            <w:start w:w="0" w:type="dxa"/>
            <w:bottom w:w="0" w:type="dxa"/>
            <w:end w:w="0" w:type="dxa"/>
          </w:tcMar>
          <w:tcBorders>
            <w:top w:val="single" w:sz="6" w:color="C8D2DC"/>
          </w:tcBorders>
        </w:tcPr>
        <w:p>
          <w:pPr>
            <w:jc w:val="right"/>
          </w:pPr>
          <w:r>
            <w:rPr>
              <w:rFonts w:ascii="Lato" w:hAnsi="Lato" w:eastAsia="Lato"/>
              <w:color w:val="667788"/>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jc w:val="center"/>
      <w:tblLayout w:type="fixed"/>
    </w:tblPr>
    <w:tblGrid>
      <w:gridCol w:w="5017"/>
      <w:gridCol w:w="5017"/>
    </w:tblGrid>
    <w:tr>
      <w:tc>
        <w:tcPr>
          <w:tcW w:type="dxa" w:w="7257"/>
          <w:tcMar>
            <w:top w:w="20" w:type="dxa"/>
            <w:start w:w="0" w:type="dxa"/>
            <w:bottom w:w="20" w:type="dxa"/>
            <w:end w:w="0" w:type="dxa"/>
          </w:tcMar>
          <w:tcBorders>
            <w:bottom w:val="single" w:sz="8" w:color="2A6F97"/>
          </w:tcBorders>
        </w:tcPr>
        <w:p>
          <w:pPr>
            <w:spacing w:before="0" w:after="0" w:line="240" w:lineRule="auto"/>
            <w:jc w:val="left"/>
          </w:pPr>
          <w:r>
            <w:rPr>
              <w:rFonts w:ascii="Lato" w:hAnsi="Lato" w:eastAsia="Lato"/>
              <w:b/>
              <w:color w:val="667788"/>
              <w:sz w:val="16"/>
            </w:rPr>
            <w:t>LONDON REPORTING ACADEMY  ·  KENNISCENTRUM</w:t>
          </w:r>
        </w:p>
      </w:tc>
      <w:tc>
        <w:tcPr>
          <w:tcW w:type="dxa" w:w="2778"/>
          <w:tcMar>
            <w:top w:w="20" w:type="dxa"/>
            <w:start w:w="0" w:type="dxa"/>
            <w:bottom w:w="20" w:type="dxa"/>
            <w:end w:w="0" w:type="dxa"/>
          </w:tcMar>
          <w:tcBorders>
            <w:bottom w:val="single" w:sz="8" w:color="2A6F97"/>
          </w:tcBorders>
        </w:tcPr>
        <w:p>
          <w:pPr>
            <w:spacing w:before="0" w:after="0" w:line="240" w:lineRule="auto"/>
            <w:jc w:val="right"/>
          </w:pPr>
          <w:r>
            <w:drawing>
              <wp:inline xmlns:a="http://schemas.openxmlformats.org/drawingml/2006/main" xmlns:pic="http://schemas.openxmlformats.org/drawingml/2006/picture">
                <wp:extent cx="1260000" cy="756000"/>
                <wp:docPr id="1" name="Picture 1" descr="London Reporting Academy logo" title="London Reporting Academy logo"/>
                <wp:cNvGraphicFramePr>
                  <a:graphicFrameLocks noChangeAspect="1"/>
                </wp:cNvGraphicFramePr>
                <a:graphic>
                  <a:graphicData uri="http://schemas.openxmlformats.org/drawingml/2006/picture">
                    <pic:pic>
                      <pic:nvPicPr>
                        <pic:cNvPr id="0" name="LRA_logo.png"/>
                        <pic:cNvPicPr/>
                      </pic:nvPicPr>
                      <pic:blipFill>
                        <a:blip r:embed="rId1"/>
                        <a:stretch>
                          <a:fillRect/>
                        </a:stretch>
                      </pic:blipFill>
                      <pic:spPr>
                        <a:xfrm>
                          <a:off x="0" y="0"/>
                          <a:ext cx="1260000" cy="756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ato" w:hAnsi="Lato" w:eastAsia="Lato"/>
      <w:color w:val="26384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Lato" w:hAnsi="Lato" w:eastAsia="Lato"/>
      <w:b/>
      <w:bCs/>
      <w:color w:val="173F65"/>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Lato" w:hAnsi="Lato" w:eastAsia="Lato"/>
      <w:b/>
      <w:bCs/>
      <w:color w:val="2A6F97"/>
      <w:sz w:val="31"/>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Lato" w:hAnsi="Lato" w:eastAsia="Lato"/>
      <w:b/>
      <w:bCs/>
      <w:color w:val="173F65"/>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ato" w:hAnsi="Lato" w:eastAsia="Lato"/>
      <w:b/>
      <w:color w:val="173F6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Lato" w:hAnsi="Lato" w:eastAsia="Lato"/>
      <w:b/>
      <w:i/>
      <w:iCs/>
      <w:color w:val="66778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contextualSpacing/>
    </w:pPr>
    <w:rPr>
      <w:rFonts w:ascii="Lato" w:hAnsi="Lato" w:eastAsia="Lato"/>
      <w:color w:val="26384A"/>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9" w:lineRule="auto"/>
      <w:contextualSpacing/>
    </w:pPr>
    <w:rPr>
      <w:rFonts w:ascii="Lato" w:hAnsi="Lato" w:eastAsia="Lato"/>
      <w:color w:val="26384A"/>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Small">
    <w:name w:val="LRA Small"/>
    <w:pPr>
      <w:spacing w:after="60" w:line="240" w:lineRule="auto"/>
    </w:pPr>
    <w:rPr>
      <w:rFonts w:ascii="Lato" w:hAnsi="Lato" w:eastAsia="Lato"/>
      <w:color w:val="66778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S2 Annual Report Disclosure Template</dc:title>
  <dc:subject>Editable structure and drafting prompts for basis of preparation, four pillars, scenarios, GHG, financial effects, judgements, provisions, cross-references and approval</dc:subject>
  <dc:creator>London Reporting Academy</dc:creator>
  <cp:keywords>UK SRS S2 report template, annual report, climate disclosure</cp:keywords>
  <dc:description>Prepared as a London Reporting Academy Knowledge Card Package.</dc:description>
  <cp:lastModifiedBy>London Reporting Academy</cp:lastModifiedBy>
  <cp:revision>1</cp:revision>
  <dcterms:created xsi:type="dcterms:W3CDTF">2013-12-23T23:15:00Z</dcterms:created>
  <dcterms:modified xsi:type="dcterms:W3CDTF">2013-12-23T23:15:00Z</dcterms:modified>
  <cp:category/>
</cp:coreProperties>
</file>