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drawing>
          <wp:inline xmlns:a="http://schemas.openxmlformats.org/drawingml/2006/main" xmlns:pic="http://schemas.openxmlformats.org/drawingml/2006/picture">
            <wp:extent cx="4069080" cy="674611"/>
            <wp:docPr id="1" name="Picture 1" descr="London Reporting Academy logo"/>
            <wp:cNvGraphicFramePr>
              <a:graphicFrameLocks noChangeAspect="1"/>
            </wp:cNvGraphicFramePr>
            <a:graphic>
              <a:graphicData uri="http://schemas.openxmlformats.org/drawingml/2006/picture">
                <pic:pic>
                  <pic:nvPicPr>
                    <pic:cNvPr id="0" name="image.png"/>
                    <pic:cNvPicPr/>
                  </pic:nvPicPr>
                  <pic:blipFill>
                    <a:blip r:embed="rId11"/>
                    <a:stretch>
                      <a:fillRect/>
                    </a:stretch>
                  </pic:blipFill>
                  <pic:spPr>
                    <a:xfrm>
                      <a:off x="0" y="0"/>
                      <a:ext cx="4069080" cy="674611"/>
                    </a:xfrm>
                    <a:prstGeom prst="rect"/>
                  </pic:spPr>
                </pic:pic>
              </a:graphicData>
            </a:graphic>
          </wp:inline>
        </w:drawing>
      </w:r>
    </w:p>
    <w:p>
      <w:r>
        <w:rPr>
          <w:rFonts w:ascii="Arial" w:hAnsi="Arial" w:eastAsia="Arial"/>
          <w:b/>
          <w:color w:val="1F5E8C"/>
          <w:sz w:val="21"/>
        </w:rPr>
        <w:t>LRA KENNISCENTRUM  ·  UK SRS S1</w:t>
      </w:r>
    </w:p>
    <w:p>
      <w:pPr>
        <w:pStyle w:val="Title"/>
        <w:keepNext/>
        <w:pBdr>
          <w:bottom w:val="single" w:sz="12" w:space="5" w:color="2F75B5"/>
        </w:pBdr>
      </w:pPr>
      <w:r>
        <w:t>UK SRS S1 Werktuigpakket voor de eerste cyclus</w:t>
      </w:r>
    </w:p>
    <w:p>
      <w:pPr>
        <w:pStyle w:val="Subtitle"/>
      </w:pPr>
      <w:r>
        <w:t>Bewerkbare registers en goedkeuringshulpstukken voor de rapportagebasis, uitvoeringsplanning, punt E3, claims, materialiteit, identificatie van risico's en kansen, metricen, financiële effecten en bordsign-off.</w:t>
      </w:r>
    </w:p>
    <w:tbl>
      <w:tblPr>
        <w:tblStyle w:val="TableGrid"/>
        <w:tblW w:type="auto" w:w="0"/>
        <w:jc w:val="center"/>
        <w:tblLook w:firstColumn="1" w:firstRow="1" w:lastColumn="0" w:lastRow="0" w:noHBand="0" w:noVBand="1" w:val="04A0"/>
      </w:tblPr>
      <w:tblGrid>
        <w:gridCol w:w="4904"/>
        <w:gridCol w:w="4904"/>
      </w:tblGrid>
      <w:tr>
        <w:tc>
          <w:tcPr>
            <w:tcW w:type="dxa" w:w="9808"/>
            <w:gridSpan w:val="2"/>
            <w:shd w:fill="173B6C"/>
          </w:tcPr>
          <w:p>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Identificatie van de verzameling</w:t>
            </w:r>
          </w:p>
        </w:tc>
        <w:tc>
          <w:tcPr>
            <w:tcW w:type="dxa" w:w="4904"/>
            <w:tcMar>
              <w:top w:w="90" w:type="dxa"/>
              <w:start w:w="110" w:type="dxa"/>
              <w:bottom w:w="90" w:type="dxa"/>
              <w:end w:w="110" w:type="dxa"/>
            </w:tcMar>
            <w:vAlign w:val="center"/>
          </w:tcPr>
          <w:p>
            <w:r>
              <w:rPr>
                <w:rFonts w:ascii="Arial" w:hAnsi="Arial" w:eastAsia="Arial"/>
                <w:color w:val="1C2733"/>
                <w:sz w:val="18"/>
              </w:rPr>
              <w:t>UKSRS1-TOOL-006</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Formateren</w:t>
            </w:r>
          </w:p>
        </w:tc>
        <w:tc>
          <w:tcPr>
            <w:tcW w:type="dxa" w:w="4904"/>
            <w:tcMar>
              <w:top w:w="90" w:type="dxa"/>
              <w:start w:w="110" w:type="dxa"/>
              <w:bottom w:w="90" w:type="dxa"/>
              <w:end w:w="110" w:type="dxa"/>
            </w:tcMar>
            <w:vAlign w:val="center"/>
          </w:tcPr>
          <w:p>
            <w:r>
              <w:rPr>
                <w:rFonts w:ascii="Arial" w:hAnsi="Arial" w:eastAsia="Arial"/>
                <w:color w:val="1C2733"/>
                <w:sz w:val="18"/>
              </w:rPr>
              <w:t>Implementatie-toolset</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Eerste publiek</w:t>
            </w:r>
          </w:p>
        </w:tc>
        <w:tc>
          <w:tcPr>
            <w:tcW w:type="dxa" w:w="4904"/>
            <w:tcMar>
              <w:top w:w="90" w:type="dxa"/>
              <w:start w:w="110" w:type="dxa"/>
              <w:bottom w:w="90" w:type="dxa"/>
              <w:end w:w="110" w:type="dxa"/>
            </w:tcMar>
            <w:vAlign w:val="center"/>
          </w:tcPr>
          <w:p>
            <w:r>
              <w:rPr>
                <w:rFonts w:ascii="Arial" w:hAnsi="Arial" w:eastAsia="Arial"/>
                <w:color w:val="1C2733"/>
                <w:sz w:val="18"/>
              </w:rPr>
              <w:t>Rapporteur van projectteams, financiën, risico's, bedrijfssecretariaat, juridische, interne controle en technische beoordelaars</w:t>
            </w:r>
          </w:p>
        </w:tc>
      </w:tr>
      <w:tr>
        <w:tc>
          <w:tcPr>
            <w:tcW w:type="dxa" w:w="4904"/>
            <w:shd w:fill="EAF2F8"/>
            <w:tcMar>
              <w:top w:w="90" w:type="dxa"/>
              <w:start w:w="110" w:type="dxa"/>
              <w:bottom w:w="90" w:type="dxa"/>
              <w:end w:w="110" w:type="dxa"/>
            </w:tcMar>
            <w:vAlign w:val="center"/>
          </w:tcPr>
          <w:p>
            <w:r>
              <w:rPr>
                <w:rFonts w:ascii="Arial" w:hAnsi="Arial" w:eastAsia="Arial"/>
                <w:b/>
                <w:color w:val="173B6C"/>
                <w:sz w:val="18"/>
              </w:rPr>
              <w:t>Technische status</w:t>
            </w:r>
          </w:p>
        </w:tc>
        <w:tc>
          <w:tcPr>
            <w:tcW w:type="dxa" w:w="4904"/>
            <w:tcMar>
              <w:top w:w="90" w:type="dxa"/>
              <w:start w:w="110" w:type="dxa"/>
              <w:bottom w:w="90" w:type="dxa"/>
              <w:end w:w="110" w:type="dxa"/>
            </w:tcMar>
            <w:vAlign w:val="center"/>
          </w:tcPr>
          <w:p>
            <w:r>
              <w:rPr>
                <w:rFonts w:ascii="Arial" w:hAnsi="Arial" w:eastAsia="Arial"/>
                <w:color w:val="1C2733"/>
                <w:sz w:val="18"/>
              </w:rPr>
              <w:t>Opgesteld op basis van de UK SRS-edities die op 25 februari 2026 zijn gepubliceerd; beoordeeld op 6 augustus 2026.</w:t>
            </w:r>
          </w:p>
        </w:tc>
      </w:tr>
    </w:tbl>
    <w:p/>
    <w:p>
      <w:r>
        <w:rPr>
          <w:rFonts w:ascii="Arial" w:hAnsi="Arial" w:eastAsia="Arial"/>
          <w:i/>
          <w:color w:val="66717F"/>
          <w:sz w:val="18"/>
        </w:rPr>
        <w:t>Educatief materiaal voor professionals. Illustratieve voorbeelden en formuleringen moeten worden aangepast en technisch beoordeeld.</w:t>
      </w:r>
    </w:p>
    <w:p>
      <w:r>
        <w:br w:type="page"/>
      </w:r>
    </w:p>
    <w:tbl>
      <w:tblPr>
        <w:tblStyle w:val="TableGrid"/>
        <w:tblW w:type="auto" w:w="0"/>
        <w:tblLook w:firstColumn="1" w:firstRow="1" w:lastColumn="0" w:lastRow="0" w:noHBand="0" w:noVBand="1" w:val="04A0"/>
      </w:tblPr>
      <w:tblGrid>
        <w:gridCol w:w="9808"/>
      </w:tblGrid>
      <w:tr>
        <w:tc>
          <w:tcPr>
            <w:tcW w:type="dxa" w:w="9808"/>
            <w:shd w:fill="FFF4DD"/>
            <w:tcMar>
              <w:top w:w="120" w:type="dxa"/>
              <w:start w:w="150" w:type="dxa"/>
              <w:bottom w:w="120" w:type="dxa"/>
              <w:end w:w="150" w:type="dxa"/>
            </w:tcMar>
            <w:tcBorders>
              <w:top w:val="single" w:sz="4" w:color="B6C7D8"/>
              <w:bottom w:val="single" w:sz="4" w:color="B6C7D8"/>
              <w:right w:val="single" w:sz="4" w:color="B6C7D8"/>
              <w:left w:val="single" w:sz="18" w:color="B36B00"/>
            </w:tcBorders>
          </w:tcPr>
          <w:p>
            <w:r>
              <w:rPr>
                <w:rFonts w:ascii="Arial" w:hAnsi="Arial" w:eastAsia="Arial"/>
                <w:b/>
                <w:color w:val="B36B00"/>
                <w:sz w:val="20"/>
              </w:rPr>
              <w:t>Gebruik nota Deze tabellen zijn werkhulpstukken, niet voorgeschreven. UK SRS-sjablonen. Aanpassen van velden, eigenaars en goedkeuringsgehalten aan de entiteit. Het invullen van een tabel bepaalt zelf niet dat het conform is.</w:t>
              <w:br/>
            </w:r>
            <w:r>
              <w:rPr>
                <w:rFonts w:ascii="Arial" w:hAnsi="Arial" w:eastAsia="Arial"/>
                <w:color w:val="1C2733"/>
                <w:sz w:val="18"/>
              </w:rPr>
              <w:t/>
            </w:r>
          </w:p>
        </w:tc>
      </w:tr>
    </w:tbl>
    <w:p/>
    <w:p>
      <w:pPr>
        <w:pStyle w:val="Heading2"/>
        <w:keepNext/>
      </w:pPr>
      <w:r>
        <w:t>Werktuig 1 - verslaggeving en besluit tot vaststelling van de claim</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Veld</w:t>
            </w:r>
          </w:p>
        </w:tc>
        <w:tc>
          <w:tcPr>
            <w:tcW w:type="dxa" w:w="3269"/>
            <w:shd w:fill="173B6C"/>
            <w:tcMar>
              <w:top w:w="80" w:type="dxa"/>
              <w:start w:w="80" w:type="dxa"/>
              <w:bottom w:w="80" w:type="dxa"/>
              <w:end w:w="80" w:type="dxa"/>
            </w:tcMar>
          </w:tcPr>
          <w:p>
            <w:r>
              <w:rPr>
                <w:rFonts w:ascii="Arial" w:hAnsi="Arial" w:eastAsia="Arial"/>
                <w:b/>
                <w:color w:val="FFFFFF"/>
                <w:sz w:val="16"/>
              </w:rPr>
              <w:t>Besluit / beschrijving</w:t>
            </w:r>
          </w:p>
        </w:tc>
        <w:tc>
          <w:tcPr>
            <w:tcW w:type="dxa" w:w="3269"/>
            <w:shd w:fill="173B6C"/>
            <w:tcMar>
              <w:top w:w="80" w:type="dxa"/>
              <w:start w:w="80" w:type="dxa"/>
              <w:bottom w:w="80" w:type="dxa"/>
              <w:end w:w="80" w:type="dxa"/>
            </w:tcMar>
          </w:tcPr>
          <w:p>
            <w:r>
              <w:rPr>
                <w:rFonts w:ascii="Arial" w:hAnsi="Arial" w:eastAsia="Arial"/>
                <w:b/>
                <w:color w:val="FFFFFF"/>
                <w:sz w:val="16"/>
              </w:rPr>
              <w:t>Bewijs / eigenaar</w:t>
            </w:r>
          </w:p>
        </w:tc>
      </w:tr>
      <w:tr>
        <w:tc>
          <w:tcPr>
            <w:tcW w:type="dxa" w:w="3269"/>
            <w:shd w:fill="F4F6F8"/>
            <w:tcMar>
              <w:top w:w="75" w:type="dxa"/>
              <w:start w:w="80" w:type="dxa"/>
              <w:bottom w:w="75" w:type="dxa"/>
              <w:end w:w="80" w:type="dxa"/>
            </w:tcMar>
          </w:tcPr>
          <w:p>
            <w:r>
              <w:rPr>
                <w:rFonts w:ascii="Arial" w:hAnsi="Arial" w:eastAsia="Arial"/>
                <w:b/>
                <w:color w:val="1C2733"/>
                <w:sz w:val="16"/>
              </w:rPr>
              <w:t>Rapporteur</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Rapporteurperiode</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Rapporteur: vrijwillig / wet / verordening</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De toepasselijke normen en edities</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Plaats en tijdstip van publicatie van het verslag</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Gebruikt lid E3?</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Verwezenlijking UK SRS S1 verklaring</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Verwezenlijking UK SRS S2 verklaring</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Andere kader- of claims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Verlichtingen, vrijstellingen en beperkingen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Goedkeuring van het orgaan en de datum</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Reglementaire actualisatie-trigger</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bl>
    <w:p/>
    <w:p>
      <w:pPr>
        <w:pStyle w:val="Heading2"/>
        <w:keepNext/>
      </w:pPr>
      <w:r>
        <w:t>Werktuig 2 - uitvoeringsplan van twaalf maanden</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Maand / fase</w:t>
            </w:r>
          </w:p>
        </w:tc>
        <w:tc>
          <w:tcPr>
            <w:tcW w:type="dxa" w:w="2452"/>
            <w:shd w:fill="173B6C"/>
            <w:tcMar>
              <w:top w:w="80" w:type="dxa"/>
              <w:start w:w="80" w:type="dxa"/>
              <w:bottom w:w="80" w:type="dxa"/>
              <w:end w:w="80" w:type="dxa"/>
            </w:tcMar>
          </w:tcPr>
          <w:p>
            <w:r>
              <w:rPr>
                <w:rFonts w:ascii="Arial" w:hAnsi="Arial" w:eastAsia="Arial"/>
                <w:b/>
                <w:color w:val="FFFFFF"/>
                <w:sz w:val="15"/>
              </w:rPr>
              <w:t>Werkstroom en actie</w:t>
            </w:r>
          </w:p>
        </w:tc>
        <w:tc>
          <w:tcPr>
            <w:tcW w:type="dxa" w:w="2452"/>
            <w:shd w:fill="173B6C"/>
            <w:tcMar>
              <w:top w:w="80" w:type="dxa"/>
              <w:start w:w="80" w:type="dxa"/>
              <w:bottom w:w="80" w:type="dxa"/>
              <w:end w:w="80" w:type="dxa"/>
            </w:tcMar>
          </w:tcPr>
          <w:p>
            <w:r>
              <w:rPr>
                <w:rFonts w:ascii="Arial" w:hAnsi="Arial" w:eastAsia="Arial"/>
                <w:b/>
                <w:color w:val="FFFFFF"/>
                <w:sz w:val="15"/>
              </w:rPr>
              <w:t>Eigenaar</w:t>
            </w:r>
          </w:p>
        </w:tc>
        <w:tc>
          <w:tcPr>
            <w:tcW w:type="dxa" w:w="2452"/>
            <w:shd w:fill="173B6C"/>
            <w:tcMar>
              <w:top w:w="80" w:type="dxa"/>
              <w:start w:w="80" w:type="dxa"/>
              <w:bottom w:w="80" w:type="dxa"/>
              <w:end w:w="80" w:type="dxa"/>
            </w:tcMar>
          </w:tcPr>
          <w:p>
            <w:r>
              <w:rPr>
                <w:rFonts w:ascii="Arial" w:hAnsi="Arial" w:eastAsia="Arial"/>
                <w:b/>
                <w:color w:val="FFFFFF"/>
                <w:sz w:val="15"/>
              </w:rPr>
              <w:t>Uitvoer / goedkeuring</w:t>
            </w:r>
          </w:p>
        </w:tc>
      </w:tr>
      <w:tr>
        <w:tc>
          <w:tcPr>
            <w:tcW w:type="dxa" w:w="2452"/>
            <w:shd w:fill="F4F6F8"/>
            <w:tcMar>
              <w:top w:w="75" w:type="dxa"/>
              <w:start w:w="80" w:type="dxa"/>
              <w:bottom w:w="75" w:type="dxa"/>
              <w:end w:w="80" w:type="dxa"/>
            </w:tcMar>
          </w:tcPr>
          <w:p>
            <w:r>
              <w:rPr>
                <w:rFonts w:ascii="Arial" w:hAnsi="Arial" w:eastAsia="Arial"/>
                <w:b/>
                <w:color w:val="1C2733"/>
                <w:sz w:val="15"/>
              </w:rPr>
              <w:t>1 - Stichting</w:t>
            </w:r>
          </w:p>
        </w:tc>
        <w:tc>
          <w:tcPr>
            <w:tcW w:type="dxa" w:w="2452"/>
            <w:shd w:fill="F4F6F8"/>
            <w:tcMar>
              <w:top w:w="75" w:type="dxa"/>
              <w:start w:w="80" w:type="dxa"/>
              <w:bottom w:w="75" w:type="dxa"/>
              <w:end w:w="80" w:type="dxa"/>
            </w:tcMar>
          </w:tcPr>
          <w:p>
            <w:r>
              <w:rPr>
                <w:rFonts w:ascii="Arial" w:hAnsi="Arial" w:eastAsia="Arial"/>
                <w:b w:val="0"/>
                <w:color w:val="1C2733"/>
                <w:sz w:val="15"/>
              </w:rPr>
              <w:t>Bevestigingsgrondslag, toepassingsgebied, aansprakelijkheid en governance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2 - Stichting</w:t>
            </w:r>
          </w:p>
        </w:tc>
        <w:tc>
          <w:tcPr>
            <w:tcW w:type="dxa" w:w="2452"/>
            <w:tcMar>
              <w:top w:w="75" w:type="dxa"/>
              <w:start w:w="80" w:type="dxa"/>
              <w:bottom w:w="75" w:type="dxa"/>
              <w:end w:w="80" w:type="dxa"/>
            </w:tcMar>
          </w:tcPr>
          <w:p>
            <w:r>
              <w:rPr>
                <w:rFonts w:ascii="Arial" w:hAnsi="Arial" w:eastAsia="Arial"/>
                <w:b w:val="0"/>
                <w:color w:val="1C2733"/>
                <w:sz w:val="15"/>
              </w:rPr>
              <w:t>Kaart bedrijfsmodel, waardeketen en bronnen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3 - Beoordelen .</w:t>
            </w:r>
          </w:p>
        </w:tc>
        <w:tc>
          <w:tcPr>
            <w:tcW w:type="dxa" w:w="2452"/>
            <w:shd w:fill="F4F6F8"/>
            <w:tcMar>
              <w:top w:w="75" w:type="dxa"/>
              <w:start w:w="80" w:type="dxa"/>
              <w:bottom w:w="75" w:type="dxa"/>
              <w:end w:w="80" w:type="dxa"/>
            </w:tcMar>
          </w:tcPr>
          <w:p>
            <w:r>
              <w:rPr>
                <w:rFonts w:ascii="Arial" w:hAnsi="Arial" w:eastAsia="Arial"/>
                <w:b w:val="0"/>
                <w:color w:val="1C2733"/>
                <w:sz w:val="15"/>
              </w:rPr>
              <w:t>Identificatie van risico's en kansen</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4 - Beoordelen .</w:t>
            </w:r>
          </w:p>
        </w:tc>
        <w:tc>
          <w:tcPr>
            <w:tcW w:type="dxa" w:w="2452"/>
            <w:tcMar>
              <w:top w:w="75" w:type="dxa"/>
              <w:start w:w="80" w:type="dxa"/>
              <w:bottom w:w="75" w:type="dxa"/>
              <w:end w:w="80" w:type="dxa"/>
            </w:tcMar>
          </w:tcPr>
          <w:p>
            <w:r>
              <w:rPr>
                <w:rFonts w:ascii="Arial" w:hAnsi="Arial" w:eastAsia="Arial"/>
                <w:b w:val="0"/>
                <w:color w:val="1C2733"/>
                <w:sz w:val="15"/>
              </w:rPr>
              <w:t>Uitdagingscompleteitheid en reikwijdte van de waardeketen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5 - Beoordelen .</w:t>
            </w:r>
          </w:p>
        </w:tc>
        <w:tc>
          <w:tcPr>
            <w:tcW w:type="dxa" w:w="2452"/>
            <w:shd w:fill="F4F6F8"/>
            <w:tcMar>
              <w:top w:w="75" w:type="dxa"/>
              <w:start w:w="80" w:type="dxa"/>
              <w:bottom w:w="75" w:type="dxa"/>
              <w:end w:w="80" w:type="dxa"/>
            </w:tcMar>
          </w:tcPr>
          <w:p>
            <w:r>
              <w:rPr>
                <w:rFonts w:ascii="Arial" w:hAnsi="Arial" w:eastAsia="Arial"/>
                <w:b w:val="0"/>
                <w:color w:val="1C2733"/>
                <w:sz w:val="15"/>
              </w:rPr>
              <w:t>Goedkeuring van beslissingen inzake materiële informatie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6 - Bouwen .</w:t>
            </w:r>
          </w:p>
        </w:tc>
        <w:tc>
          <w:tcPr>
            <w:tcW w:type="dxa" w:w="2452"/>
            <w:tcMar>
              <w:top w:w="75" w:type="dxa"/>
              <w:start w:w="80" w:type="dxa"/>
              <w:bottom w:w="75" w:type="dxa"/>
              <w:end w:w="80" w:type="dxa"/>
            </w:tcMar>
          </w:tcPr>
          <w:p>
            <w:r>
              <w:rPr>
                <w:rFonts w:ascii="Arial" w:hAnsi="Arial" w:eastAsia="Arial"/>
                <w:b w:val="0"/>
                <w:color w:val="1C2733"/>
                <w:sz w:val="15"/>
              </w:rPr>
              <w:t>De ontwikkeling van vier pijlers en UK SRS S2 werkplannen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7 - Bouwen .</w:t>
            </w:r>
          </w:p>
        </w:tc>
        <w:tc>
          <w:tcPr>
            <w:tcW w:type="dxa" w:w="2452"/>
            <w:shd w:fill="F4F6F8"/>
            <w:tcMar>
              <w:top w:w="75" w:type="dxa"/>
              <w:start w:w="80" w:type="dxa"/>
              <w:bottom w:w="75" w:type="dxa"/>
              <w:end w:w="80" w:type="dxa"/>
            </w:tcMar>
          </w:tcPr>
          <w:p>
            <w:r>
              <w:rPr>
                <w:rFonts w:ascii="Arial" w:hAnsi="Arial" w:eastAsia="Arial"/>
                <w:b w:val="0"/>
                <w:color w:val="1C2733"/>
                <w:sz w:val="15"/>
              </w:rPr>
              <w:t>Definieer metrices, doelstellingen en gegevensverzoeken</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8 - Bouwen .</w:t>
            </w:r>
          </w:p>
        </w:tc>
        <w:tc>
          <w:tcPr>
            <w:tcW w:type="dxa" w:w="2452"/>
            <w:tcMar>
              <w:top w:w="75" w:type="dxa"/>
              <w:start w:w="80" w:type="dxa"/>
              <w:bottom w:w="75" w:type="dxa"/>
              <w:end w:w="80" w:type="dxa"/>
            </w:tcMar>
          </w:tcPr>
          <w:p>
            <w:r>
              <w:rPr>
                <w:rFonts w:ascii="Arial" w:hAnsi="Arial" w:eastAsia="Arial"/>
                <w:b w:val="0"/>
                <w:color w:val="1C2733"/>
                <w:sz w:val="15"/>
              </w:rPr>
              <w:t>Inzet van gegevenslijnen, bewijsstukken en controles</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9 - Bouwen .</w:t>
            </w:r>
          </w:p>
        </w:tc>
        <w:tc>
          <w:tcPr>
            <w:tcW w:type="dxa" w:w="2452"/>
            <w:shd w:fill="F4F6F8"/>
            <w:tcMar>
              <w:top w:w="75" w:type="dxa"/>
              <w:start w:w="80" w:type="dxa"/>
              <w:bottom w:w="75" w:type="dxa"/>
              <w:end w:w="80" w:type="dxa"/>
            </w:tcMar>
          </w:tcPr>
          <w:p>
            <w:r>
              <w:rPr>
                <w:rFonts w:ascii="Arial" w:hAnsi="Arial" w:eastAsia="Arial"/>
                <w:b w:val="0"/>
                <w:color w:val="1C2733"/>
                <w:sz w:val="15"/>
              </w:rPr>
              <w:t>Volledige analyse van de financiële gevolgen</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10 - Rapport .</w:t>
            </w:r>
          </w:p>
        </w:tc>
        <w:tc>
          <w:tcPr>
            <w:tcW w:type="dxa" w:w="2452"/>
            <w:tcMar>
              <w:top w:w="75" w:type="dxa"/>
              <w:start w:w="80" w:type="dxa"/>
              <w:bottom w:w="75" w:type="dxa"/>
              <w:end w:w="80" w:type="dxa"/>
            </w:tcMar>
          </w:tcPr>
          <w:p>
            <w:r>
              <w:rPr>
                <w:rFonts w:ascii="Arial" w:hAnsi="Arial" w:eastAsia="Arial"/>
                <w:b w:val="0"/>
                <w:color w:val="1C2733"/>
                <w:sz w:val="15"/>
              </w:rPr>
              <w:t>Ontwerp van het bijbehorende verslag en basis voor de voorbereiding</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11 - Rapport .</w:t>
            </w:r>
          </w:p>
        </w:tc>
        <w:tc>
          <w:tcPr>
            <w:tcW w:type="dxa" w:w="2452"/>
            <w:shd w:fill="F4F6F8"/>
            <w:tcMar>
              <w:top w:w="75" w:type="dxa"/>
              <w:start w:w="80" w:type="dxa"/>
              <w:bottom w:w="75" w:type="dxa"/>
              <w:end w:w="80" w:type="dxa"/>
            </w:tcMar>
          </w:tcPr>
          <w:p>
            <w:r>
              <w:rPr>
                <w:rFonts w:ascii="Arial" w:hAnsi="Arial" w:eastAsia="Arial"/>
                <w:b w:val="0"/>
                <w:color w:val="1C2733"/>
                <w:sz w:val="15"/>
              </w:rPr>
              <w:t>Uitvoeren van technische, financiële, juridische en controlesbeoordelingen</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12 - Rapport .</w:t>
            </w:r>
          </w:p>
        </w:tc>
        <w:tc>
          <w:tcPr>
            <w:tcW w:type="dxa" w:w="2452"/>
            <w:tcMar>
              <w:top w:w="75" w:type="dxa"/>
              <w:start w:w="80" w:type="dxa"/>
              <w:bottom w:w="75" w:type="dxa"/>
              <w:end w:w="80" w:type="dxa"/>
            </w:tcMar>
          </w:tcPr>
          <w:p>
            <w:r>
              <w:rPr>
                <w:rFonts w:ascii="Arial" w:hAnsi="Arial" w:eastAsia="Arial"/>
                <w:b w:val="0"/>
                <w:color w:val="1C2733"/>
                <w:sz w:val="15"/>
              </w:rPr>
              <w:t>Verzamelen van verklaringen, goedkeuring van het bestuur en publiceren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Werktuig 3 - lid E3 jaarlijkse besluitrekening</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Besluitfactor</w:t>
            </w:r>
          </w:p>
        </w:tc>
        <w:tc>
          <w:tcPr>
            <w:tcW w:type="dxa" w:w="3269"/>
            <w:shd w:fill="173B6C"/>
            <w:tcMar>
              <w:top w:w="80" w:type="dxa"/>
              <w:start w:w="80" w:type="dxa"/>
              <w:bottom w:w="80" w:type="dxa"/>
              <w:end w:w="80" w:type="dxa"/>
            </w:tcMar>
          </w:tcPr>
          <w:p>
            <w:r>
              <w:rPr>
                <w:rFonts w:ascii="Arial" w:hAnsi="Arial" w:eastAsia="Arial"/>
                <w:b/>
                <w:color w:val="FFFFFF"/>
                <w:sz w:val="16"/>
              </w:rPr>
              <w:t>Beoordeling</w:t>
            </w:r>
          </w:p>
        </w:tc>
        <w:tc>
          <w:tcPr>
            <w:tcW w:type="dxa" w:w="3269"/>
            <w:shd w:fill="173B6C"/>
            <w:tcMar>
              <w:top w:w="80" w:type="dxa"/>
              <w:start w:w="80" w:type="dxa"/>
              <w:bottom w:w="80" w:type="dxa"/>
              <w:end w:w="80" w:type="dxa"/>
            </w:tcMar>
          </w:tcPr>
          <w:p>
            <w:r>
              <w:rPr>
                <w:rFonts w:ascii="Arial" w:hAnsi="Arial" w:eastAsia="Arial"/>
                <w:b/>
                <w:color w:val="FFFFFF"/>
                <w:sz w:val="16"/>
              </w:rPr>
              <w:t>Bewijs / actie</w:t>
            </w:r>
          </w:p>
        </w:tc>
      </w:tr>
      <w:tr>
        <w:tc>
          <w:tcPr>
            <w:tcW w:type="dxa" w:w="3269"/>
            <w:shd w:fill="F4F6F8"/>
            <w:tcMar>
              <w:top w:w="75" w:type="dxa"/>
              <w:start w:w="80" w:type="dxa"/>
              <w:bottom w:w="75" w:type="dxa"/>
              <w:end w:w="80" w:type="dxa"/>
            </w:tcMar>
          </w:tcPr>
          <w:p>
            <w:r>
              <w:rPr>
                <w:rFonts w:ascii="Arial" w:hAnsi="Arial" w:eastAsia="Arial"/>
                <w:b/>
                <w:color w:val="1C2733"/>
                <w:sz w:val="16"/>
              </w:rPr>
              <w:t>Is de aanvraag vrijwillig of verplicht?</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Is E3 beschikbaar volgens de huidige wetgeving of regels?</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Zou het klimaat-enig omvang informatie weglaten die al voor beleggers belangrijk is?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Kan de entiteit voldoen aan alle toepasselijke voorwaarden? UK SRS S2 de vereisten?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Is het bord comfortabel dat geen UK SRS S1 wordt een conformiteitsvordering gedaan?</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Welke vergelijkende behandeling is van toepassing bij E4?</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Welke niet-klimaatprocessen kunnen dit jaar worden ontwikkeld?</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Wanneer zal het gebruik van E3 opnieuw worden overwogen?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Goedgekeurde conclusie en datum</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Werktuig 4 - inventarisatie van de naleving en openbare aanspraken</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Publicatie / kanaal</w:t>
            </w:r>
          </w:p>
        </w:tc>
        <w:tc>
          <w:tcPr>
            <w:tcW w:type="dxa" w:w="2452"/>
            <w:shd w:fill="173B6C"/>
            <w:tcMar>
              <w:top w:w="80" w:type="dxa"/>
              <w:start w:w="80" w:type="dxa"/>
              <w:bottom w:w="80" w:type="dxa"/>
              <w:end w:w="80" w:type="dxa"/>
            </w:tcMar>
          </w:tcPr>
          <w:p>
            <w:r>
              <w:rPr>
                <w:rFonts w:ascii="Arial" w:hAnsi="Arial" w:eastAsia="Arial"/>
                <w:b/>
                <w:color w:val="FFFFFF"/>
                <w:sz w:val="15"/>
              </w:rPr>
              <w:t>Ontwerpresolutie</w:t>
            </w:r>
          </w:p>
        </w:tc>
        <w:tc>
          <w:tcPr>
            <w:tcW w:type="dxa" w:w="2452"/>
            <w:shd w:fill="173B6C"/>
            <w:tcMar>
              <w:top w:w="80" w:type="dxa"/>
              <w:start w:w="80" w:type="dxa"/>
              <w:bottom w:w="80" w:type="dxa"/>
              <w:end w:w="80" w:type="dxa"/>
            </w:tcMar>
          </w:tcPr>
          <w:p>
            <w:r>
              <w:rPr>
                <w:rFonts w:ascii="Arial" w:hAnsi="Arial" w:eastAsia="Arial"/>
                <w:b/>
                <w:color w:val="FFFFFF"/>
                <w:sz w:val="15"/>
              </w:rPr>
              <w:t>Technische basis</w:t>
            </w:r>
          </w:p>
        </w:tc>
        <w:tc>
          <w:tcPr>
            <w:tcW w:type="dxa" w:w="2452"/>
            <w:shd w:fill="173B6C"/>
            <w:tcMar>
              <w:top w:w="80" w:type="dxa"/>
              <w:start w:w="80" w:type="dxa"/>
              <w:bottom w:w="80" w:type="dxa"/>
              <w:end w:w="80" w:type="dxa"/>
            </w:tcMar>
          </w:tcPr>
          <w:p>
            <w:r>
              <w:rPr>
                <w:rFonts w:ascii="Arial" w:hAnsi="Arial" w:eastAsia="Arial"/>
                <w:b/>
                <w:color w:val="FFFFFF"/>
                <w:sz w:val="15"/>
              </w:rPr>
              <w:t>Recenseur / status</w:t>
            </w:r>
          </w:p>
        </w:tc>
      </w:tr>
      <w:tr>
        <w:tc>
          <w:tcPr>
            <w:tcW w:type="dxa" w:w="2452"/>
            <w:shd w:fill="F4F6F8"/>
            <w:tcMar>
              <w:top w:w="75" w:type="dxa"/>
              <w:start w:w="80" w:type="dxa"/>
              <w:bottom w:w="75" w:type="dxa"/>
              <w:end w:w="80" w:type="dxa"/>
            </w:tcMar>
          </w:tcPr>
          <w:p>
            <w:r>
              <w:rPr>
                <w:rFonts w:ascii="Arial" w:hAnsi="Arial" w:eastAsia="Arial"/>
                <w:b/>
                <w:color w:val="1C2733"/>
                <w:sz w:val="15"/>
              </w:rPr>
              <w:t>Grondslag voor de voorbereiding</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Indice van normen</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Directeurs goedkeuringspapier</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Verslag over de verzekering</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Hoogtepunten van het jaarverslag</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Metadata van websites en SEO</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Investeerderspresentatie</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Persbericht</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color w:val="1C2733"/>
                <w:sz w:val="15"/>
              </w:rPr>
              <w:t>Antwoorden op de inschrijving / vragenlijst</w:t>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color w:val="1C2733"/>
                <w:sz w:val="15"/>
              </w:rPr>
              <w:t>AI-assistent of chatbot antwoord</w:t>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Werktuig 5 - register risico's en kansen</w:t>
      </w:r>
    </w:p>
    <w:tbl>
      <w:tblPr>
        <w:tblStyle w:val="TableGrid"/>
        <w:tblW w:type="auto" w:w="0"/>
        <w:jc w:val="center"/>
        <w:tblLook w:firstColumn="1" w:firstRow="1" w:lastColumn="0" w:lastRow="0" w:noHBand="0" w:noVBand="1" w:val="04A0"/>
      </w:tblPr>
      <w:tblGrid>
        <w:gridCol w:w="4904"/>
        <w:gridCol w:w="4904"/>
      </w:tblGrid>
      <w:tr>
        <w:trPr>
          <w:tblHeader w:val="true"/>
        </w:trPr>
        <w:tc>
          <w:tcPr>
            <w:tcW w:type="dxa" w:w="4904"/>
            <w:shd w:fill="173B6C"/>
            <w:tcMar>
              <w:top w:w="80" w:type="dxa"/>
              <w:start w:w="80" w:type="dxa"/>
              <w:bottom w:w="80" w:type="dxa"/>
              <w:end w:w="80" w:type="dxa"/>
            </w:tcMar>
          </w:tcPr>
          <w:p>
            <w:r>
              <w:rPr>
                <w:rFonts w:ascii="Arial" w:hAnsi="Arial" w:eastAsia="Arial"/>
                <w:b/>
                <w:color w:val="FFFFFF"/>
                <w:sz w:val="16"/>
              </w:rPr>
              <w:t>Veld</w:t>
            </w:r>
          </w:p>
        </w:tc>
        <w:tc>
          <w:tcPr>
            <w:tcW w:type="dxa" w:w="4904"/>
            <w:shd w:fill="173B6C"/>
            <w:tcMar>
              <w:top w:w="80" w:type="dxa"/>
              <w:start w:w="80" w:type="dxa"/>
              <w:bottom w:w="80" w:type="dxa"/>
              <w:end w:w="80" w:type="dxa"/>
            </w:tcMar>
          </w:tcPr>
          <w:p>
            <w:r>
              <w:rPr>
                <w:rFonts w:ascii="Arial" w:hAnsi="Arial" w:eastAsia="Arial"/>
                <w:b/>
                <w:color w:val="FFFFFF"/>
                <w:sz w:val="16"/>
              </w:rPr>
              <w:t>Invoer</w:t>
            </w:r>
          </w:p>
        </w:tc>
      </w:tr>
      <w:tr>
        <w:tc>
          <w:tcPr>
            <w:tcW w:type="dxa" w:w="4904"/>
            <w:shd w:fill="F4F6F8"/>
            <w:tcMar>
              <w:top w:w="75" w:type="dxa"/>
              <w:start w:w="80" w:type="dxa"/>
              <w:bottom w:w="75" w:type="dxa"/>
              <w:end w:w="80" w:type="dxa"/>
            </w:tcMar>
          </w:tcPr>
          <w:p>
            <w:r>
              <w:rPr>
                <w:rFonts w:ascii="Arial" w:hAnsi="Arial" w:eastAsia="Arial"/>
                <w:b/>
                <w:color w:val="1C2733"/>
                <w:sz w:val="16"/>
              </w:rPr>
              <w:t>Records-ID en specifieke titel</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Risico / kans / beide</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Businessmodel of locatie van de waardeketen</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Afhankelijkheid, impact of externe bestuurder</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Financiële overdrachtspad</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Kort / middellange / langetermijnhorisont</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Rationale verwachtingen</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Interne en externe bronnen</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De breedte, proxy's en gaten van de waardeketen</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Bestaande controles en strategische respons</w:t>
            </w:r>
          </w:p>
        </w:tc>
        <w:tc>
          <w:tcPr>
            <w:tcW w:type="dxa" w:w="4904"/>
            <w:tcMar>
              <w:top w:w="75" w:type="dxa"/>
              <w:start w:w="80" w:type="dxa"/>
              <w:bottom w:w="75" w:type="dxa"/>
              <w:end w:w="80" w:type="dxa"/>
            </w:tcMar>
          </w:tcPr>
          <w:p>
            <w:r>
              <w:rPr>
                <w:rFonts w:ascii="Arial" w:hAnsi="Arial" w:eastAsia="Arial"/>
                <w:b w:val="0"/>
                <w:color w:val="1C2733"/>
                <w:sz w:val="16"/>
              </w:rPr>
            </w:r>
          </w:p>
        </w:tc>
      </w:tr>
      <w:tr>
        <w:tc>
          <w:tcPr>
            <w:tcW w:type="dxa" w:w="4904"/>
            <w:shd w:fill="F4F6F8"/>
            <w:tcMar>
              <w:top w:w="75" w:type="dxa"/>
              <w:start w:w="80" w:type="dxa"/>
              <w:bottom w:w="75" w:type="dxa"/>
              <w:end w:w="80" w:type="dxa"/>
            </w:tcMar>
          </w:tcPr>
          <w:p>
            <w:r>
              <w:rPr>
                <w:rFonts w:ascii="Arial" w:hAnsi="Arial" w:eastAsia="Arial"/>
                <w:b/>
                <w:color w:val="1C2733"/>
                <w:sz w:val="16"/>
              </w:rPr>
              <w:t>Materialiteitstatus en verbonden openbaarmaking</w:t>
            </w:r>
          </w:p>
        </w:tc>
        <w:tc>
          <w:tcPr>
            <w:tcW w:type="dxa" w:w="4904"/>
            <w:shd w:fill="F4F6F8"/>
            <w:tcMar>
              <w:top w:w="75" w:type="dxa"/>
              <w:start w:w="80" w:type="dxa"/>
              <w:bottom w:w="75" w:type="dxa"/>
              <w:end w:w="80" w:type="dxa"/>
            </w:tcMar>
          </w:tcPr>
          <w:p>
            <w:r>
              <w:rPr>
                <w:rFonts w:ascii="Arial" w:hAnsi="Arial" w:eastAsia="Arial"/>
                <w:b w:val="0"/>
                <w:color w:val="1C2733"/>
                <w:sz w:val="16"/>
              </w:rPr>
            </w:r>
          </w:p>
        </w:tc>
      </w:tr>
      <w:tr>
        <w:tc>
          <w:tcPr>
            <w:tcW w:type="dxa" w:w="4904"/>
            <w:tcMar>
              <w:top w:w="75" w:type="dxa"/>
              <w:start w:w="80" w:type="dxa"/>
              <w:bottom w:w="75" w:type="dxa"/>
              <w:end w:w="80" w:type="dxa"/>
            </w:tcMar>
          </w:tcPr>
          <w:p>
            <w:r>
              <w:rPr>
                <w:rFonts w:ascii="Arial" w:hAnsi="Arial" w:eastAsia="Arial"/>
                <w:b/>
                <w:color w:val="1C2733"/>
                <w:sz w:val="16"/>
              </w:rPr>
              <w:t>Eigenaar, beoordelingspunt en herbeoordelingsdrijf</w:t>
            </w:r>
          </w:p>
        </w:tc>
        <w:tc>
          <w:tcPr>
            <w:tcW w:type="dxa" w:w="4904"/>
            <w:tcMar>
              <w:top w:w="75" w:type="dxa"/>
              <w:start w:w="80" w:type="dxa"/>
              <w:bottom w:w="75" w:type="dxa"/>
              <w:end w:w="80" w:type="dxa"/>
            </w:tcMar>
          </w:tcPr>
          <w:p>
            <w:r>
              <w:rPr>
                <w:rFonts w:ascii="Arial" w:hAnsi="Arial" w:eastAsia="Arial"/>
                <w:b w:val="0"/>
                <w:color w:val="1C2733"/>
                <w:sz w:val="16"/>
              </w:rPr>
            </w:r>
          </w:p>
        </w:tc>
      </w:tr>
    </w:tbl>
    <w:p/>
    <w:p>
      <w:pPr>
        <w:pStyle w:val="Heading2"/>
        <w:keepNext/>
      </w:pPr>
      <w:r>
        <w:t>Werktuig 6 - de beslissingsmatrix voor de belanghebbenden</w:t>
      </w:r>
    </w:p>
    <w:tbl>
      <w:tblPr>
        <w:tblStyle w:val="TableGrid"/>
        <w:tblW w:type="auto" w:w="0"/>
        <w:jc w:val="center"/>
        <w:tblLook w:firstColumn="1" w:firstRow="1" w:lastColumn="0" w:lastRow="0" w:noHBand="0" w:noVBand="1" w:val="04A0"/>
      </w:tblPr>
      <w:tblGrid>
        <w:gridCol w:w="3269"/>
        <w:gridCol w:w="3269"/>
        <w:gridCol w:w="3269"/>
      </w:tblGrid>
      <w:tr>
        <w:trPr>
          <w:tblHeader w:val="true"/>
        </w:trPr>
        <w:tc>
          <w:tcPr>
            <w:tcW w:type="dxa" w:w="3269"/>
            <w:shd w:fill="173B6C"/>
            <w:tcMar>
              <w:top w:w="80" w:type="dxa"/>
              <w:start w:w="80" w:type="dxa"/>
              <w:bottom w:w="80" w:type="dxa"/>
              <w:end w:w="80" w:type="dxa"/>
            </w:tcMar>
          </w:tcPr>
          <w:p>
            <w:r>
              <w:rPr>
                <w:rFonts w:ascii="Arial" w:hAnsi="Arial" w:eastAsia="Arial"/>
                <w:b/>
                <w:color w:val="FFFFFF"/>
                <w:sz w:val="16"/>
              </w:rPr>
              <w:t>Afmetingen</w:t>
            </w:r>
          </w:p>
        </w:tc>
        <w:tc>
          <w:tcPr>
            <w:tcW w:type="dxa" w:w="3269"/>
            <w:shd w:fill="173B6C"/>
            <w:tcMar>
              <w:top w:w="80" w:type="dxa"/>
              <w:start w:w="80" w:type="dxa"/>
              <w:bottom w:w="80" w:type="dxa"/>
              <w:end w:w="80" w:type="dxa"/>
            </w:tcMar>
          </w:tcPr>
          <w:p>
            <w:r>
              <w:rPr>
                <w:rFonts w:ascii="Arial" w:hAnsi="Arial" w:eastAsia="Arial"/>
                <w:b/>
                <w:color w:val="FFFFFF"/>
                <w:sz w:val="16"/>
              </w:rPr>
              <w:t>Beoordeling en bewijs</w:t>
            </w:r>
          </w:p>
        </w:tc>
        <w:tc>
          <w:tcPr>
            <w:tcW w:type="dxa" w:w="3269"/>
            <w:shd w:fill="173B6C"/>
            <w:tcMar>
              <w:top w:w="80" w:type="dxa"/>
              <w:start w:w="80" w:type="dxa"/>
              <w:bottom w:w="80" w:type="dxa"/>
              <w:end w:w="80" w:type="dxa"/>
            </w:tcMar>
          </w:tcPr>
          <w:p>
            <w:r>
              <w:rPr>
                <w:rFonts w:ascii="Arial" w:hAnsi="Arial" w:eastAsia="Arial"/>
                <w:b/>
                <w:color w:val="FFFFFF"/>
                <w:sz w:val="16"/>
              </w:rPr>
              <w:t>Conclusies / redenen</w:t>
            </w:r>
          </w:p>
        </w:tc>
      </w:tr>
      <w:tr>
        <w:tc>
          <w:tcPr>
            <w:tcW w:type="dxa" w:w="3269"/>
            <w:shd w:fill="F4F6F8"/>
            <w:tcMar>
              <w:top w:w="75" w:type="dxa"/>
              <w:start w:w="80" w:type="dxa"/>
              <w:bottom w:w="75" w:type="dxa"/>
              <w:end w:w="80" w:type="dxa"/>
            </w:tcMar>
          </w:tcPr>
          <w:p>
            <w:r>
              <w:rPr>
                <w:rFonts w:ascii="Arial" w:hAnsi="Arial" w:eastAsia="Arial"/>
                <w:b/>
                <w:color w:val="1C2733"/>
                <w:sz w:val="16"/>
              </w:rPr>
              <w:t>Besluit van de eerste gebruiker</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Vooruitzichten</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Natuur / kwalitatieve betekenis</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Grootte / concentratie</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Waarskynlijkheid en omvang van de uitkomsten</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Tijd en omkeerbaarheid</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Combinatie met andere informatie</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Aggregatie / ontdeling</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Verduistering en rapportering</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r>
        <w:tc>
          <w:tcPr>
            <w:tcW w:type="dxa" w:w="3269"/>
            <w:tcMar>
              <w:top w:w="75" w:type="dxa"/>
              <w:start w:w="80" w:type="dxa"/>
              <w:bottom w:w="75" w:type="dxa"/>
              <w:end w:w="80" w:type="dxa"/>
            </w:tcMar>
          </w:tcPr>
          <w:p>
            <w:r>
              <w:rPr>
                <w:rFonts w:ascii="Arial" w:hAnsi="Arial" w:eastAsia="Arial"/>
                <w:b/>
                <w:color w:val="1C2733"/>
                <w:sz w:val="16"/>
              </w:rPr>
              <w:t>Besluit: openbaar maken / combineren / niet-materiaal / monitor</w:t>
            </w:r>
          </w:p>
        </w:tc>
        <w:tc>
          <w:tcPr>
            <w:tcW w:type="dxa" w:w="3269"/>
            <w:tcMar>
              <w:top w:w="75" w:type="dxa"/>
              <w:start w:w="80" w:type="dxa"/>
              <w:bottom w:w="75" w:type="dxa"/>
              <w:end w:w="80" w:type="dxa"/>
            </w:tcMar>
          </w:tcPr>
          <w:p>
            <w:r>
              <w:rPr>
                <w:rFonts w:ascii="Arial" w:hAnsi="Arial" w:eastAsia="Arial"/>
                <w:b w:val="0"/>
                <w:color w:val="1C2733"/>
                <w:sz w:val="16"/>
              </w:rPr>
            </w:r>
          </w:p>
        </w:tc>
        <w:tc>
          <w:tcPr>
            <w:tcW w:type="dxa" w:w="3269"/>
            <w:tcMar>
              <w:top w:w="75" w:type="dxa"/>
              <w:start w:w="80" w:type="dxa"/>
              <w:bottom w:w="75" w:type="dxa"/>
              <w:end w:w="80" w:type="dxa"/>
            </w:tcMar>
          </w:tcPr>
          <w:p>
            <w:r>
              <w:rPr>
                <w:rFonts w:ascii="Arial" w:hAnsi="Arial" w:eastAsia="Arial"/>
                <w:b w:val="0"/>
                <w:color w:val="1C2733"/>
                <w:sz w:val="16"/>
              </w:rPr>
            </w:r>
          </w:p>
        </w:tc>
      </w:tr>
      <w:tr>
        <w:tc>
          <w:tcPr>
            <w:tcW w:type="dxa" w:w="3269"/>
            <w:shd w:fill="F4F6F8"/>
            <w:tcMar>
              <w:top w:w="75" w:type="dxa"/>
              <w:start w:w="80" w:type="dxa"/>
              <w:bottom w:w="75" w:type="dxa"/>
              <w:end w:w="80" w:type="dxa"/>
            </w:tcMar>
          </w:tcPr>
          <w:p>
            <w:r>
              <w:rPr>
                <w:rFonts w:ascii="Arial" w:hAnsi="Arial" w:eastAsia="Arial"/>
                <w:b/>
                <w:color w:val="1C2733"/>
                <w:sz w:val="16"/>
              </w:rPr>
              <w:t>Goedkeuring en datum</w:t>
            </w:r>
          </w:p>
        </w:tc>
        <w:tc>
          <w:tcPr>
            <w:tcW w:type="dxa" w:w="3269"/>
            <w:shd w:fill="F4F6F8"/>
            <w:tcMar>
              <w:top w:w="75" w:type="dxa"/>
              <w:start w:w="80" w:type="dxa"/>
              <w:bottom w:w="75" w:type="dxa"/>
              <w:end w:w="80" w:type="dxa"/>
            </w:tcMar>
          </w:tcPr>
          <w:p>
            <w:r>
              <w:rPr>
                <w:rFonts w:ascii="Arial" w:hAnsi="Arial" w:eastAsia="Arial"/>
                <w:b w:val="0"/>
                <w:color w:val="1C2733"/>
                <w:sz w:val="16"/>
              </w:rPr>
            </w:r>
          </w:p>
        </w:tc>
        <w:tc>
          <w:tcPr>
            <w:tcW w:type="dxa" w:w="3269"/>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Werktuig 7 - metric, data en bewijsregister</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5"/>
              </w:rPr>
              <w:t>Metric / openbaarmaking</w:t>
            </w:r>
          </w:p>
        </w:tc>
        <w:tc>
          <w:tcPr>
            <w:tcW w:type="dxa" w:w="2452"/>
            <w:shd w:fill="173B6C"/>
            <w:tcMar>
              <w:top w:w="80" w:type="dxa"/>
              <w:start w:w="80" w:type="dxa"/>
              <w:bottom w:w="80" w:type="dxa"/>
              <w:end w:w="80" w:type="dxa"/>
            </w:tcMar>
          </w:tcPr>
          <w:p>
            <w:r>
              <w:rPr>
                <w:rFonts w:ascii="Arial" w:hAnsi="Arial" w:eastAsia="Arial"/>
                <w:b/>
                <w:color w:val="FFFFFF"/>
                <w:sz w:val="15"/>
              </w:rPr>
              <w:t>Definitie en grens</w:t>
            </w:r>
          </w:p>
        </w:tc>
        <w:tc>
          <w:tcPr>
            <w:tcW w:type="dxa" w:w="2452"/>
            <w:shd w:fill="173B6C"/>
            <w:tcMar>
              <w:top w:w="80" w:type="dxa"/>
              <w:start w:w="80" w:type="dxa"/>
              <w:bottom w:w="80" w:type="dxa"/>
              <w:end w:w="80" w:type="dxa"/>
            </w:tcMar>
          </w:tcPr>
          <w:p>
            <w:r>
              <w:rPr>
                <w:rFonts w:ascii="Arial" w:hAnsi="Arial" w:eastAsia="Arial"/>
                <w:b/>
                <w:color w:val="FFFFFF"/>
                <w:sz w:val="15"/>
              </w:rPr>
              <w:t>Bron / methode</w:t>
            </w:r>
          </w:p>
        </w:tc>
        <w:tc>
          <w:tcPr>
            <w:tcW w:type="dxa" w:w="2452"/>
            <w:shd w:fill="173B6C"/>
            <w:tcMar>
              <w:top w:w="80" w:type="dxa"/>
              <w:start w:w="80" w:type="dxa"/>
              <w:bottom w:w="80" w:type="dxa"/>
              <w:end w:w="80" w:type="dxa"/>
            </w:tcMar>
          </w:tcPr>
          <w:p>
            <w:r>
              <w:rPr>
                <w:rFonts w:ascii="Arial" w:hAnsi="Arial" w:eastAsia="Arial"/>
                <w:b/>
                <w:color w:val="FFFFFF"/>
                <w:sz w:val="15"/>
              </w:rPr>
              <w:t>Eigenaar / controle</w:t>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r>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c>
          <w:tcPr>
            <w:tcW w:type="dxa" w:w="2452"/>
            <w:shd w:fill="F4F6F8"/>
            <w:tcMar>
              <w:top w:w="75" w:type="dxa"/>
              <w:start w:w="80" w:type="dxa"/>
              <w:bottom w:w="75" w:type="dxa"/>
              <w:end w:w="80" w:type="dxa"/>
            </w:tcMar>
          </w:tcPr>
          <w:p>
            <w:r>
              <w:rPr>
                <w:rFonts w:ascii="Arial" w:hAnsi="Arial" w:eastAsia="Arial"/>
                <w:b w:val="0"/>
                <w:color w:val="1C2733"/>
                <w:sz w:val="15"/>
              </w:rPr>
            </w:r>
          </w:p>
        </w:tc>
      </w:tr>
      <w:tr>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c>
          <w:tcPr>
            <w:tcW w:type="dxa" w:w="2452"/>
            <w:tcMar>
              <w:top w:w="75" w:type="dxa"/>
              <w:start w:w="80" w:type="dxa"/>
              <w:bottom w:w="75" w:type="dxa"/>
              <w:end w:w="80" w:type="dxa"/>
            </w:tcMar>
          </w:tcPr>
          <w:p>
            <w:r>
              <w:rPr>
                <w:rFonts w:ascii="Arial" w:hAnsi="Arial" w:eastAsia="Arial"/>
                <w:b w:val="0"/>
                <w:color w:val="1C2733"/>
                <w:sz w:val="15"/>
              </w:rPr>
            </w:r>
          </w:p>
        </w:tc>
      </w:tr>
    </w:tbl>
    <w:p/>
    <w:p>
      <w:pPr>
        <w:pStyle w:val="Heading2"/>
        <w:keepNext/>
      </w:pPr>
      <w:r>
        <w:t>Werktuig 8 - de huidige en verwachte financiële effecten</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r>
              <w:rPr>
                <w:rFonts w:ascii="Arial" w:hAnsi="Arial" w:eastAsia="Arial"/>
                <w:b/>
                <w:color w:val="FFFFFF"/>
                <w:sz w:val="14"/>
              </w:rPr>
              <w:t>Risico / kans</w:t>
            </w:r>
          </w:p>
        </w:tc>
        <w:tc>
          <w:tcPr>
            <w:tcW w:type="dxa" w:w="1962"/>
            <w:shd w:fill="173B6C"/>
            <w:tcMar>
              <w:top w:w="80" w:type="dxa"/>
              <w:start w:w="80" w:type="dxa"/>
              <w:bottom w:w="80" w:type="dxa"/>
              <w:end w:w="80" w:type="dxa"/>
            </w:tcMar>
          </w:tcPr>
          <w:p>
            <w:r>
              <w:rPr>
                <w:rFonts w:ascii="Arial" w:hAnsi="Arial" w:eastAsia="Arial"/>
                <w:b/>
                <w:color w:val="FFFFFF"/>
                <w:sz w:val="14"/>
              </w:rPr>
              <w:t>Financiële lijn of pad</w:t>
            </w:r>
          </w:p>
        </w:tc>
        <w:tc>
          <w:tcPr>
            <w:tcW w:type="dxa" w:w="1962"/>
            <w:shd w:fill="173B6C"/>
            <w:tcMar>
              <w:top w:w="80" w:type="dxa"/>
              <w:start w:w="80" w:type="dxa"/>
              <w:bottom w:w="80" w:type="dxa"/>
              <w:end w:w="80" w:type="dxa"/>
            </w:tcMar>
          </w:tcPr>
          <w:p>
            <w:r>
              <w:rPr>
                <w:rFonts w:ascii="Arial" w:hAnsi="Arial" w:eastAsia="Arial"/>
                <w:b/>
                <w:color w:val="FFFFFF"/>
                <w:sz w:val="14"/>
              </w:rPr>
              <w:t>Tegenstandseffect</w:t>
            </w:r>
          </w:p>
        </w:tc>
        <w:tc>
          <w:tcPr>
            <w:tcW w:type="dxa" w:w="1962"/>
            <w:shd w:fill="173B6C"/>
            <w:tcMar>
              <w:top w:w="80" w:type="dxa"/>
              <w:start w:w="80" w:type="dxa"/>
              <w:bottom w:w="80" w:type="dxa"/>
              <w:end w:w="80" w:type="dxa"/>
            </w:tcMar>
          </w:tcPr>
          <w:p>
            <w:r>
              <w:rPr>
                <w:rFonts w:ascii="Arial" w:hAnsi="Arial" w:eastAsia="Arial"/>
                <w:b/>
                <w:color w:val="FFFFFF"/>
                <w:sz w:val="14"/>
              </w:rPr>
              <w:t>Verwachte effect / horizon</w:t>
            </w:r>
          </w:p>
        </w:tc>
        <w:tc>
          <w:tcPr>
            <w:tcW w:type="dxa" w:w="1962"/>
            <w:shd w:fill="173B6C"/>
            <w:tcMar>
              <w:top w:w="80" w:type="dxa"/>
              <w:start w:w="80" w:type="dxa"/>
              <w:bottom w:w="80" w:type="dxa"/>
              <w:end w:w="80" w:type="dxa"/>
            </w:tcMar>
          </w:tcPr>
          <w:p>
            <w:r>
              <w:rPr>
                <w:rFonts w:ascii="Arial" w:hAnsi="Arial" w:eastAsia="Arial"/>
                <w:b/>
                <w:color w:val="FFFFFF"/>
                <w:sz w:val="14"/>
              </w:rPr>
              <w:t>Veronderstellingen / bewijs</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bl>
    <w:p/>
    <w:p>
      <w:pPr>
        <w:pStyle w:val="Heading2"/>
        <w:keepNext/>
      </w:pPr>
      <w:r>
        <w:t>Werktuig 9 - openbaarmaking en kruisverwijzingskaart</w:t>
      </w:r>
    </w:p>
    <w:tbl>
      <w:tblPr>
        <w:tblStyle w:val="TableGrid"/>
        <w:tblW w:type="auto" w:w="0"/>
        <w:jc w:val="center"/>
        <w:tblLook w:firstColumn="1" w:firstRow="1" w:lastColumn="0" w:lastRow="0" w:noHBand="0" w:noVBand="1" w:val="04A0"/>
      </w:tblPr>
      <w:tblGrid>
        <w:gridCol w:w="1962"/>
        <w:gridCol w:w="1962"/>
        <w:gridCol w:w="1962"/>
        <w:gridCol w:w="1962"/>
        <w:gridCol w:w="1962"/>
      </w:tblGrid>
      <w:tr>
        <w:trPr>
          <w:tblHeader w:val="true"/>
        </w:trPr>
        <w:tc>
          <w:tcPr>
            <w:tcW w:type="dxa" w:w="1962"/>
            <w:shd w:fill="173B6C"/>
            <w:tcMar>
              <w:top w:w="80" w:type="dxa"/>
              <w:start w:w="80" w:type="dxa"/>
              <w:bottom w:w="80" w:type="dxa"/>
              <w:end w:w="80" w:type="dxa"/>
            </w:tcMar>
          </w:tcPr>
          <w:p>
            <w:r>
              <w:rPr>
                <w:rFonts w:ascii="Arial" w:hAnsi="Arial" w:eastAsia="Arial"/>
                <w:b/>
                <w:color w:val="FFFFFF"/>
                <w:sz w:val="14"/>
              </w:rPr>
              <w:t>Materiaal</w:t>
            </w:r>
          </w:p>
        </w:tc>
        <w:tc>
          <w:tcPr>
            <w:tcW w:type="dxa" w:w="1962"/>
            <w:shd w:fill="173B6C"/>
            <w:tcMar>
              <w:top w:w="80" w:type="dxa"/>
              <w:start w:w="80" w:type="dxa"/>
              <w:bottom w:w="80" w:type="dxa"/>
              <w:end w:w="80" w:type="dxa"/>
            </w:tcMar>
          </w:tcPr>
          <w:p>
            <w:r>
              <w:rPr>
                <w:rFonts w:ascii="Arial" w:hAnsi="Arial" w:eastAsia="Arial"/>
                <w:b/>
                <w:color w:val="FFFFFF"/>
                <w:sz w:val="14"/>
              </w:rPr>
              <w:t>Bestuur</w:t>
            </w:r>
          </w:p>
        </w:tc>
        <w:tc>
          <w:tcPr>
            <w:tcW w:type="dxa" w:w="1962"/>
            <w:shd w:fill="173B6C"/>
            <w:tcMar>
              <w:top w:w="80" w:type="dxa"/>
              <w:start w:w="80" w:type="dxa"/>
              <w:bottom w:w="80" w:type="dxa"/>
              <w:end w:w="80" w:type="dxa"/>
            </w:tcMar>
          </w:tcPr>
          <w:p>
            <w:r>
              <w:rPr>
                <w:rFonts w:ascii="Arial" w:hAnsi="Arial" w:eastAsia="Arial"/>
                <w:b/>
                <w:color w:val="FFFFFF"/>
                <w:sz w:val="14"/>
              </w:rPr>
              <w:t>Strategie / financiële gevolgen</w:t>
            </w:r>
          </w:p>
        </w:tc>
        <w:tc>
          <w:tcPr>
            <w:tcW w:type="dxa" w:w="1962"/>
            <w:shd w:fill="173B6C"/>
            <w:tcMar>
              <w:top w:w="80" w:type="dxa"/>
              <w:start w:w="80" w:type="dxa"/>
              <w:bottom w:w="80" w:type="dxa"/>
              <w:end w:w="80" w:type="dxa"/>
            </w:tcMar>
          </w:tcPr>
          <w:p>
            <w:r>
              <w:rPr>
                <w:rFonts w:ascii="Arial" w:hAnsi="Arial" w:eastAsia="Arial"/>
                <w:b/>
                <w:color w:val="FFFFFF"/>
                <w:sz w:val="14"/>
              </w:rPr>
              <w:t>Risicomanagement</w:t>
            </w:r>
          </w:p>
        </w:tc>
        <w:tc>
          <w:tcPr>
            <w:tcW w:type="dxa" w:w="1962"/>
            <w:shd w:fill="173B6C"/>
            <w:tcMar>
              <w:top w:w="80" w:type="dxa"/>
              <w:start w:w="80" w:type="dxa"/>
              <w:bottom w:w="80" w:type="dxa"/>
              <w:end w:w="80" w:type="dxa"/>
            </w:tcMar>
          </w:tcPr>
          <w:p>
            <w:r>
              <w:rPr>
                <w:rFonts w:ascii="Arial" w:hAnsi="Arial" w:eastAsia="Arial"/>
                <w:b/>
                <w:color w:val="FFFFFF"/>
                <w:sz w:val="14"/>
              </w:rPr>
              <w:t>Metricen / doelen / locatie</w:t>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r>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c>
          <w:tcPr>
            <w:tcW w:type="dxa" w:w="1962"/>
            <w:tcMar>
              <w:top w:w="75" w:type="dxa"/>
              <w:start w:w="80" w:type="dxa"/>
              <w:bottom w:w="75" w:type="dxa"/>
              <w:end w:w="80" w:type="dxa"/>
            </w:tcMar>
          </w:tcPr>
          <w:p>
            <w:r>
              <w:rPr>
                <w:rFonts w:ascii="Arial" w:hAnsi="Arial" w:eastAsia="Arial"/>
                <w:b w:val="0"/>
                <w:color w:val="1C2733"/>
                <w:sz w:val="14"/>
              </w:rPr>
            </w:r>
          </w:p>
        </w:tc>
      </w:tr>
      <w:tr>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c>
          <w:tcPr>
            <w:tcW w:type="dxa" w:w="1962"/>
            <w:shd w:fill="F4F6F8"/>
            <w:tcMar>
              <w:top w:w="75" w:type="dxa"/>
              <w:start w:w="80" w:type="dxa"/>
              <w:bottom w:w="75" w:type="dxa"/>
              <w:end w:w="80" w:type="dxa"/>
            </w:tcMar>
          </w:tcPr>
          <w:p>
            <w:r>
              <w:rPr>
                <w:rFonts w:ascii="Arial" w:hAnsi="Arial" w:eastAsia="Arial"/>
                <w:b w:val="0"/>
                <w:color w:val="1C2733"/>
                <w:sz w:val="14"/>
              </w:rPr>
            </w:r>
          </w:p>
        </w:tc>
      </w:tr>
    </w:tbl>
    <w:p/>
    <w:p>
      <w:pPr>
        <w:pStyle w:val="Heading2"/>
        <w:keepNext/>
      </w:pPr>
      <w:r>
        <w:t>Werktuig 10 - eindgoedkeuringsport</w:t>
      </w:r>
    </w:p>
    <w:p>
      <w:pPr/>
      <w:r>
        <w:rPr>
          <w:rFonts w:ascii="Arial" w:hAnsi="Arial" w:eastAsia="Arial"/>
        </w:rPr>
        <w:t>☐ De definitieve publicatie versie overeenkomt met de versie die door het management en het bestuur is beoordeeld.</w:t>
      </w:r>
    </w:p>
    <w:p>
      <w:pPr/>
      <w:r>
        <w:rPr>
          <w:rFonts w:ascii="Arial" w:hAnsi="Arial" w:eastAsia="Arial"/>
        </w:rPr>
        <w:t>☐ De rapportagebasis, normen, afwijkingen en beoogde verklaringen zijn expliciet.</w:t>
      </w:r>
    </w:p>
    <w:p>
      <w:pPr/>
      <w:r>
        <w:rPr>
          <w:rFonts w:ascii="Arial" w:hAnsi="Arial" w:eastAsia="Arial"/>
        </w:rPr>
        <w:t>☐ Materiële risico's en kansen zijn volledig en kunnen worden teruggevoerd naar goedgekeurde gegevens.</w:t>
      </w:r>
    </w:p>
    <w:p>
      <w:pPr/>
      <w:r>
        <w:rPr>
          <w:rFonts w:ascii="Arial" w:hAnsi="Arial" w:eastAsia="Arial"/>
        </w:rPr>
        <w:t>☐ De beslissingen inzake de materieel karakter en de aggregatie-keuzes zijn gedocumenteerd.</w:t>
      </w:r>
    </w:p>
    <w:p>
      <w:pPr/>
      <w:r>
        <w:rPr>
          <w:rFonts w:ascii="Arial" w:hAnsi="Arial" w:eastAsia="Arial"/>
        </w:rPr>
        <w:t>☐ Het is een belangrijke factor in de ontwikkeling van het beleid.</w:t>
      </w:r>
    </w:p>
    <w:p>
      <w:pPr/>
      <w:r>
        <w:rPr>
          <w:rFonts w:ascii="Arial" w:hAnsi="Arial" w:eastAsia="Arial"/>
        </w:rPr>
        <w:t>☐ De huidige en verwachte financiële effecten zijn door de financiering beoordeeld.</w:t>
      </w:r>
    </w:p>
    <w:p>
      <w:pPr/>
      <w:r>
        <w:rPr>
          <w:rFonts w:ascii="Arial" w:hAnsi="Arial" w:eastAsia="Arial"/>
        </w:rPr>
        <w:t>☐ UK SRS S2 is voltooid of wordt het gebruik van paragraaf E3 bekendgemaakt en gecontroleerd.</w:t>
      </w:r>
    </w:p>
    <w:p>
      <w:pPr/>
      <w:r>
        <w:rPr>
          <w:rFonts w:ascii="Arial" w:hAnsi="Arial" w:eastAsia="Arial"/>
        </w:rPr>
        <w:t>☐ Methoden, schattingen, onzekerheid, beperkingen en gegevensgaping zijn transparant.</w:t>
      </w:r>
    </w:p>
    <w:p>
      <w:pPr/>
      <w:r>
        <w:rPr>
          <w:rFonts w:ascii="Arial" w:hAnsi="Arial" w:eastAsia="Arial"/>
        </w:rPr>
        <w:t>☐ Gegevens, bewijsmateriaal, controles en managementverantwoordelijkheden worden bewaard.</w:t>
      </w:r>
    </w:p>
    <w:p>
      <w:pPr/>
      <w:r>
        <w:rPr>
          <w:rFonts w:ascii="Arial" w:hAnsi="Arial" w:eastAsia="Arial"/>
        </w:rPr>
        <w:t>☐ Het toepassingsgebied van de garantie wordt afzonderlijk beschreven en de naleving van normen.</w:t>
      </w:r>
    </w:p>
    <w:p>
      <w:pPr/>
      <w:r>
        <w:rPr>
          <w:rFonts w:ascii="Arial" w:hAnsi="Arial" w:eastAsia="Arial"/>
        </w:rPr>
        <w:t>☐ De claims zijn consistent op alle openbare kanalen.</w:t>
      </w:r>
    </w:p>
    <w:p>
      <w:pPr/>
      <w:r>
        <w:rPr>
          <w:rFonts w:ascii="Arial" w:hAnsi="Arial" w:eastAsia="Arial"/>
        </w:rPr>
        <w:t>☐ Er worden na de publicatie monitoring- en up-to-date-triggers toegewezen.</w:t>
      </w:r>
    </w:p>
    <w:p>
      <w:pPr>
        <w:pStyle w:val="Heading2"/>
        <w:keepNext/>
      </w:pPr>
      <w:r>
        <w:t>Goedkeuringskrediet</w:t>
      </w:r>
    </w:p>
    <w:tbl>
      <w:tblPr>
        <w:tblStyle w:val="TableGrid"/>
        <w:tblW w:type="auto" w:w="0"/>
        <w:jc w:val="center"/>
        <w:tblLook w:firstColumn="1" w:firstRow="1" w:lastColumn="0" w:lastRow="0" w:noHBand="0" w:noVBand="1" w:val="04A0"/>
      </w:tblPr>
      <w:tblGrid>
        <w:gridCol w:w="2452"/>
        <w:gridCol w:w="2452"/>
        <w:gridCol w:w="2452"/>
        <w:gridCol w:w="2452"/>
      </w:tblGrid>
      <w:tr>
        <w:trPr>
          <w:tblHeader w:val="true"/>
        </w:trPr>
        <w:tc>
          <w:tcPr>
            <w:tcW w:type="dxa" w:w="2452"/>
            <w:shd w:fill="173B6C"/>
            <w:tcMar>
              <w:top w:w="80" w:type="dxa"/>
              <w:start w:w="80" w:type="dxa"/>
              <w:bottom w:w="80" w:type="dxa"/>
              <w:end w:w="80" w:type="dxa"/>
            </w:tcMar>
          </w:tcPr>
          <w:p>
            <w:r>
              <w:rPr>
                <w:rFonts w:ascii="Arial" w:hAnsi="Arial" w:eastAsia="Arial"/>
                <w:b/>
                <w:color w:val="FFFFFF"/>
                <w:sz w:val="16"/>
              </w:rPr>
              <w:t>Rol</w:t>
            </w:r>
          </w:p>
        </w:tc>
        <w:tc>
          <w:tcPr>
            <w:tcW w:type="dxa" w:w="2452"/>
            <w:shd w:fill="173B6C"/>
            <w:tcMar>
              <w:top w:w="80" w:type="dxa"/>
              <w:start w:w="80" w:type="dxa"/>
              <w:bottom w:w="80" w:type="dxa"/>
              <w:end w:w="80" w:type="dxa"/>
            </w:tcMar>
          </w:tcPr>
          <w:p>
            <w:r>
              <w:rPr>
                <w:rFonts w:ascii="Arial" w:hAnsi="Arial" w:eastAsia="Arial"/>
                <w:b/>
                <w:color w:val="FFFFFF"/>
                <w:sz w:val="16"/>
              </w:rPr>
              <w:t>Naam</w:t>
            </w:r>
          </w:p>
        </w:tc>
        <w:tc>
          <w:tcPr>
            <w:tcW w:type="dxa" w:w="2452"/>
            <w:shd w:fill="173B6C"/>
            <w:tcMar>
              <w:top w:w="80" w:type="dxa"/>
              <w:start w:w="80" w:type="dxa"/>
              <w:bottom w:w="80" w:type="dxa"/>
              <w:end w:w="80" w:type="dxa"/>
            </w:tcMar>
          </w:tcPr>
          <w:p>
            <w:r>
              <w:rPr>
                <w:rFonts w:ascii="Arial" w:hAnsi="Arial" w:eastAsia="Arial"/>
                <w:b/>
                <w:color w:val="FFFFFF"/>
                <w:sz w:val="16"/>
              </w:rPr>
              <w:t>Besluit / datum</w:t>
            </w:r>
          </w:p>
        </w:tc>
        <w:tc>
          <w:tcPr>
            <w:tcW w:type="dxa" w:w="2452"/>
            <w:shd w:fill="173B6C"/>
            <w:tcMar>
              <w:top w:w="80" w:type="dxa"/>
              <w:start w:w="80" w:type="dxa"/>
              <w:bottom w:w="80" w:type="dxa"/>
              <w:end w:w="80" w:type="dxa"/>
            </w:tcMar>
          </w:tcPr>
          <w:p>
            <w:r>
              <w:rPr>
                <w:rFonts w:ascii="Arial" w:hAnsi="Arial" w:eastAsia="Arial"/>
                <w:b/>
                <w:color w:val="FFFFFF"/>
                <w:sz w:val="16"/>
              </w:rPr>
              <w:t>Open actie</w:t>
            </w:r>
          </w:p>
        </w:tc>
      </w:tr>
      <w:tr>
        <w:tc>
          <w:tcPr>
            <w:tcW w:type="dxa" w:w="2452"/>
            <w:shd w:fill="F4F6F8"/>
            <w:tcMar>
              <w:top w:w="75" w:type="dxa"/>
              <w:start w:w="80" w:type="dxa"/>
              <w:bottom w:w="75" w:type="dxa"/>
              <w:end w:w="80" w:type="dxa"/>
            </w:tcMar>
          </w:tcPr>
          <w:p>
            <w:r>
              <w:rPr>
                <w:rFonts w:ascii="Arial" w:hAnsi="Arial" w:eastAsia="Arial"/>
                <w:b/>
                <w:color w:val="1C2733"/>
                <w:sz w:val="16"/>
              </w:rPr>
              <w:t>Rapporteur</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CFO / financiële beoordelaar</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Risico- / strategiebeoordelingsbeheerder</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Ondernemingssecretaris / juridisch</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Technische beoordelaar</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r>
        <w:tc>
          <w:tcPr>
            <w:tcW w:type="dxa" w:w="2452"/>
            <w:tcMar>
              <w:top w:w="75" w:type="dxa"/>
              <w:start w:w="80" w:type="dxa"/>
              <w:bottom w:w="75" w:type="dxa"/>
              <w:end w:w="80" w:type="dxa"/>
            </w:tcMar>
          </w:tcPr>
          <w:p>
            <w:r>
              <w:rPr>
                <w:rFonts w:ascii="Arial" w:hAnsi="Arial" w:eastAsia="Arial"/>
                <w:b/>
                <w:color w:val="1C2733"/>
                <w:sz w:val="16"/>
              </w:rPr>
              <w:t>Intern audit / verzekeringsactiviteit</w:t>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c>
          <w:tcPr>
            <w:tcW w:type="dxa" w:w="2452"/>
            <w:tcMar>
              <w:top w:w="75" w:type="dxa"/>
              <w:start w:w="80" w:type="dxa"/>
              <w:bottom w:w="75" w:type="dxa"/>
              <w:end w:w="80" w:type="dxa"/>
            </w:tcMar>
          </w:tcPr>
          <w:p>
            <w:r>
              <w:rPr>
                <w:rFonts w:ascii="Arial" w:hAnsi="Arial" w:eastAsia="Arial"/>
                <w:b w:val="0"/>
                <w:color w:val="1C2733"/>
                <w:sz w:val="16"/>
              </w:rPr>
            </w:r>
          </w:p>
        </w:tc>
      </w:tr>
      <w:tr>
        <w:tc>
          <w:tcPr>
            <w:tcW w:type="dxa" w:w="2452"/>
            <w:shd w:fill="F4F6F8"/>
            <w:tcMar>
              <w:top w:w="75" w:type="dxa"/>
              <w:start w:w="80" w:type="dxa"/>
              <w:bottom w:w="75" w:type="dxa"/>
              <w:end w:w="80" w:type="dxa"/>
            </w:tcMar>
          </w:tcPr>
          <w:p>
            <w:r>
              <w:rPr>
                <w:rFonts w:ascii="Arial" w:hAnsi="Arial" w:eastAsia="Arial"/>
                <w:b/>
                <w:color w:val="1C2733"/>
                <w:sz w:val="16"/>
              </w:rPr>
              <w:t>Bestuur- of commissievoorzitter</w:t>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c>
          <w:tcPr>
            <w:tcW w:type="dxa" w:w="2452"/>
            <w:shd w:fill="F4F6F8"/>
            <w:tcMar>
              <w:top w:w="75" w:type="dxa"/>
              <w:start w:w="80" w:type="dxa"/>
              <w:bottom w:w="75" w:type="dxa"/>
              <w:end w:w="80" w:type="dxa"/>
            </w:tcMar>
          </w:tcPr>
          <w:p>
            <w:r>
              <w:rPr>
                <w:rFonts w:ascii="Arial" w:hAnsi="Arial" w:eastAsia="Arial"/>
                <w:b w:val="0"/>
                <w:color w:val="1C2733"/>
                <w:sz w:val="16"/>
              </w:rPr>
            </w:r>
          </w:p>
        </w:tc>
      </w:tr>
    </w:tbl>
    <w:p/>
    <w:p>
      <w:pPr>
        <w:pStyle w:val="Heading2"/>
        <w:keepNext/>
      </w:pPr>
      <w:r>
        <w:t>Bronnen, status en beoordeling</w:t>
      </w:r>
    </w:p>
    <w:p>
      <w:pPr/>
      <w:r>
        <w:t>De officiële bronnen die in deze partij worden bewaard, zijn hieronder vermeld. In de hoofdstukken worden de bronnen aangegeven die rechtstreeks dit artikel ondersteunen; andere vermeldingen geven nauw verwante context voor uitvoering, regelgeving of vergelijking.</w:t>
      </w:r>
    </w:p>
    <w:p>
      <w:pPr/>
      <w:r>
        <w:rPr>
          <w:rFonts w:ascii="Arial" w:hAnsi="Arial" w:eastAsia="Arial"/>
        </w:rPr>
        <w:t>SRC-01. UK SRS S1 Algemene vereisten voor de openbaarmaking van duurzaamheidsgerelateerde financiële informatie - afdeling Ondernemingen en Handel, 25 februari 2026- Eindelijk . UK standaard; primaire normatieve bron. https://www.gov.uk/government/publications/uk-sustainability-reporting-standards-uk-srs-s1-and-uk-srs-s2</w:t>
      </w:r>
    </w:p>
    <w:p>
      <w:pPr/>
      <w:r>
        <w:rPr>
          <w:rFonts w:ascii="Arial" w:hAnsi="Arial" w:eastAsia="Arial"/>
        </w:rPr>
        <w:t>SRC-02. UK SRS S2 De Commissie heeft de Commissie verzocht om een aanvullende verordening op te stellen. 25 februari 2026- Eindelijk . UK standaard; primaire bron voor klimaatrapporten. https://www.gov.uk/government/publications/uk-sustainability-reporting-standards-uk-srs-s1-and-uk-srs-s2</w:t>
      </w:r>
    </w:p>
    <w:p>
      <w:pPr/>
      <w:r>
        <w:rPr>
          <w:rFonts w:ascii="Arial" w:hAnsi="Arial" w:eastAsia="Arial"/>
        </w:rPr>
        <w:t>SRC-03- de reactie van de regering op het overleg over de UK De Commissie heeft de Commissie verzocht om een aanvullende verordening op te stellen. 25 februari 2026- Officiële verklaring van de definitieve UK Wijzigingen, vrijwillig gebruik en behandeling van hulp. https://www.gov.uk/government/consultations/exposure-drafts-uk-sustainability-reporting-standards/outcome/government-response-to-the-consultation-on-uk-sustainability-reporting-standards-web-version</w:t>
      </w:r>
    </w:p>
    <w:p>
      <w:pPr/>
      <w:r>
        <w:rPr>
          <w:rFonts w:ascii="Arial" w:hAnsi="Arial" w:eastAsia="Arial"/>
        </w:rPr>
        <w:t>SRC-04. De ontwikkelingen in het verslaggeven over duurzaamheid: Vragen die vaak worden gesteld - Financiële verslaggeving, bijgewerkt 26 februari 2026Officiële . UK context en FAQ's voor de uitvoering. https://www.frc.org.uk/library/standards-codes-policy/accounting-and-reporting/annual-corporate-reporting/sustainability-reporting-developments-frequently-asked-questions/</w:t>
      </w:r>
    </w:p>
    <w:p>
      <w:pPr/>
      <w:r>
        <w:rPr>
          <w:rFonts w:ascii="Arial" w:hAnsi="Arial" w:eastAsia="Arial"/>
        </w:rPr>
        <w:t>SRC-05. CP26/5: Versoening van de duurzaamheidsinformatie van noterende emittenten met internationale normen - Financieel gedragsautoriteit, 30 1 januari 2026- Gesloten raadpleging; geen definitieve regels 6 - augustus 2026. https://www.fca.org.uk/publications/consultation-papers/cp26-5-sustainability-disclosures</w:t>
      </w:r>
    </w:p>
    <w:p>
      <w:pPr/>
      <w:r>
        <w:rPr>
          <w:rFonts w:ascii="Arial" w:hAnsi="Arial" w:eastAsia="Arial"/>
        </w:rPr>
        <w:t>SRC-06- Aanwijzingen voor het strategisch verslag - Financiële verslaggeving Raad, 4 februari 2026- Officiële niet-verplichte begeleiding; UK context van de connectiviteit in het jaarverslag. https://www.frc.org.uk/library/standards-codes-policy/accounting-and-reporting/annual-corporate-reporting/guidance-on-the-strategic-report/</w:t>
      </w:r>
    </w:p>
    <w:p>
      <w:pPr/>
      <w:r>
        <w:rPr>
          <w:rFonts w:ascii="Arial" w:hAnsi="Arial" w:eastAsia="Arial"/>
        </w:rPr>
        <w:t>SRC-07. IFRS S1 Algemene vereisten voor de openbaarmaking van duurzaamheidsgerelateerde financiële informatie - IFRS Stichting, juni 2023Internationale norm; vergelijkingsbron voor dubbele UK/IFRS - De aanspraken. https://www.ifrs.org/issued-standards/ifrs-sustainability-standards-navigator/ifrs-s1-general-requirements/</w:t>
      </w:r>
    </w:p>
    <w:tbl>
      <w:tblPr>
        <w:tblStyle w:val="TableGrid"/>
        <w:tblW w:type="auto" w:w="0"/>
        <w:tblLook w:firstColumn="1" w:firstRow="1" w:lastColumn="0" w:lastRow="0" w:noHBand="0" w:noVBand="1" w:val="04A0"/>
      </w:tblPr>
      <w:tblGrid>
        <w:gridCol w:w="9808"/>
      </w:tblGrid>
      <w:tr>
        <w:tc>
          <w:tcPr>
            <w:tcW w:type="dxa" w:w="9808"/>
            <w:shd w:fill="E8F3F3"/>
            <w:tcMar>
              <w:top w:w="120" w:type="dxa"/>
              <w:start w:w="150" w:type="dxa"/>
              <w:bottom w:w="120" w:type="dxa"/>
              <w:end w:w="150" w:type="dxa"/>
            </w:tcMar>
            <w:tcBorders>
              <w:top w:val="single" w:sz="4" w:color="B6C7D8"/>
              <w:bottom w:val="single" w:sz="4" w:color="B6C7D8"/>
              <w:right w:val="single" w:sz="4" w:color="B6C7D8"/>
              <w:left w:val="single" w:sz="18" w:color="2E7B8A"/>
            </w:tcBorders>
          </w:tcPr>
          <w:p>
            <w:r>
              <w:rPr>
                <w:rFonts w:ascii="Arial" w:hAnsi="Arial" w:eastAsia="Arial"/>
                <w:b/>
                <w:color w:val="2E7B8A"/>
                <w:sz w:val="20"/>
              </w:rPr>
              <w:t>De voornaamste paragraafankers
UK SRS S1 en UK SRS S2, eind februari 2026 De vijf gerelateerde Knowledge Hub-artikelen in dit pakket.</w:t>
              <w:br/>
            </w:r>
            <w:r>
              <w:rPr>
                <w:rFonts w:ascii="Arial" w:hAnsi="Arial" w:eastAsia="Arial"/>
                <w:color w:val="1C2733"/>
                <w:sz w:val="18"/>
              </w:rPr>
              <w:t/>
            </w:r>
          </w:p>
        </w:tc>
      </w:tr>
    </w:tbl>
    <w:p/>
    <w:p>
      <w:pPr/>
      <w:r>
        <w:rPr>
          <w:rFonts w:ascii="Arial" w:hAnsi="Arial" w:eastAsia="Arial"/>
        </w:rPr>
        <w:t>Datum van de technische herziening: 6 - augustus 2026De ... UK De regelgevende positie van SRS moet opnieuw worden gecontroleerd voordat deze wordt gepubliceerd of gebruikt in een live rapportagecyclus.5 Het voorstel blijft op deze datum van herziening een voorstel; het wordt hier niet als definitieve wet of regel behandeld.</w:t>
      </w:r>
    </w:p>
    <w:sectPr>
      <w:headerReference w:type="default" r:id="rId9"/>
      <w:footerReference w:type="default" r:id="rId10"/>
      <w:pgSz w:w="11906" w:h="16838"/>
      <w:pgMar w:top="1020" w:right="1049" w:bottom="879" w:left="1049" w:header="397" w:footer="397"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UKSRS1-TOOL-006  ♬ Reviewed 6 - augustus 2026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left"/>
      <w:pBdr>
        <w:bottom w:val="single" w:sz="6" w:color="4C86B8" w:space="4"/>
      </w:pBdr>
    </w:pPr>
    <w:r>
      <w:t>LONDON REPORTING ACADEMY  ·  KENNISCENTRUM  ·  UK SRS S1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10" w:line="264" w:lineRule="auto"/>
    </w:pPr>
    <w:rPr>
      <w:rFonts w:ascii="Arial" w:hAnsi="Arial"/>
      <w:color w:val="18212B"/>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40"/>
      <w:outlineLvl w:val="0"/>
    </w:pPr>
    <w:rPr>
      <w:rFonts w:asciiTheme="majorHAnsi" w:eastAsiaTheme="majorEastAsia" w:hAnsiTheme="majorHAnsi" w:cstheme="majorBidi" w:ascii="Arial" w:hAnsi="Arial"/>
      <w:b/>
      <w:bCs/>
      <w:color w:val="0D3068"/>
      <w:sz w:val="38"/>
      <w:szCs w:val="28"/>
    </w:rPr>
  </w:style>
  <w:style w:type="paragraph" w:styleId="Heading2">
    <w:name w:val="heading 2"/>
    <w:basedOn w:val="Normal"/>
    <w:next w:val="Normal"/>
    <w:link w:val="Heading2Char"/>
    <w:uiPriority w:val="9"/>
    <w:unhideWhenUsed/>
    <w:qFormat/>
    <w:rsid w:val="00FC693F"/>
    <w:pPr>
      <w:keepNext/>
      <w:keepLines/>
      <w:spacing w:before="240" w:after="100"/>
      <w:outlineLvl w:val="1"/>
    </w:pPr>
    <w:rPr>
      <w:rFonts w:asciiTheme="majorHAnsi" w:eastAsiaTheme="majorEastAsia" w:hAnsiTheme="majorHAnsi" w:cstheme="majorBidi" w:ascii="Arial" w:hAnsi="Arial"/>
      <w:b/>
      <w:bCs/>
      <w:color w:val="0D3068"/>
      <w:sz w:val="31"/>
      <w:szCs w:val="26"/>
    </w:rPr>
  </w:style>
  <w:style w:type="paragraph" w:styleId="Heading3">
    <w:name w:val="heading 3"/>
    <w:basedOn w:val="Normal"/>
    <w:next w:val="Normal"/>
    <w:link w:val="Heading3Char"/>
    <w:uiPriority w:val="9"/>
    <w:unhideWhenUsed/>
    <w:qFormat/>
    <w:rsid w:val="00FC693F"/>
    <w:pPr>
      <w:keepNext/>
      <w:keepLines/>
      <w:spacing w:before="180" w:after="80"/>
      <w:outlineLvl w:val="2"/>
    </w:pPr>
    <w:rPr>
      <w:rFonts w:asciiTheme="majorHAnsi" w:eastAsiaTheme="majorEastAsia" w:hAnsiTheme="majorHAnsi" w:cstheme="majorBidi" w:ascii="Arial" w:hAnsi="Arial"/>
      <w:b/>
      <w:bCs/>
      <w:color w:val="1E5A8A"/>
      <w:sz w:val="25"/>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00" w:line="240" w:lineRule="auto" w:before="0"/>
      <w:contextualSpacing/>
    </w:pPr>
    <w:rPr>
      <w:rFonts w:asciiTheme="majorHAnsi" w:eastAsiaTheme="majorEastAsia" w:hAnsiTheme="majorHAnsi" w:cstheme="majorBidi" w:ascii="Arial" w:hAnsi="Arial"/>
      <w:b/>
      <w:color w:val="0D3068"/>
      <w:spacing w:val="5"/>
      <w:kern w:val="28"/>
      <w:sz w:val="5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before="0" w:after="200"/>
    </w:pPr>
    <w:rPr>
      <w:rFonts w:asciiTheme="majorHAnsi" w:eastAsiaTheme="majorEastAsia" w:hAnsiTheme="majorHAnsi" w:cstheme="majorBidi" w:ascii="Arial" w:hAnsi="Arial"/>
      <w:b w:val="0"/>
      <w:i/>
      <w:iCs/>
      <w:color w:val="59636E"/>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LRACaption">
    <w:name w:val="LRA Caption"/>
    <w:pPr>
      <w:spacing w:after="140"/>
    </w:pPr>
    <w:rPr>
      <w:rFonts w:ascii="Arial" w:hAnsi="Arial"/>
      <w:i/>
      <w:color w:val="59636E"/>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hyperlink" Target="https://assets.publishing.service.gov.uk/media/699dd3b007d7bff3604d6c5e/uk_srs_1_general_requirements_for_disclosure_of_sustainability_related_financial_information.pdf" TargetMode="External"/><Relationship Id="rId14" Type="http://schemas.openxmlformats.org/officeDocument/2006/relationships/hyperlink" Target="https://assets.publishing.service.gov.uk/media/699ddf22532c9ad91ebbcc2b/uk_srs_s2_climate_related_disclosures.pdf" TargetMode="External"/><Relationship Id="rId15" Type="http://schemas.openxmlformats.org/officeDocument/2006/relationships/hyperlink" Target="https://www.gov.uk/government/consultations/exposure-drafts-uk-sustainability-reporting-standards/outcome/government-response-to-the-consultation-on-uk-sustainability-reporting-standards-web-version" TargetMode="External"/><Relationship Id="rId16" Type="http://schemas.openxmlformats.org/officeDocument/2006/relationships/hyperlink" Target="https://www.frc.org.uk/library/standards-codes-policy/accounting-and-reporting/annual-corporate-reporting/sustainability-reporting-developments-frequently-asked-questions/" TargetMode="External"/><Relationship Id="rId17" Type="http://schemas.openxmlformats.org/officeDocument/2006/relationships/hyperlink" Target="https://www.fca.org.uk/publications/consultation-papers/cp26-5-sustainability-disclosures" TargetMode="External"/><Relationship Id="rId18" Type="http://schemas.openxmlformats.org/officeDocument/2006/relationships/hyperlink" Target="https://www.frc.org.uk/library/standards-codes-policy/accounting-and-reporting/annual-corporate-reporting/guidance-on-the-strategic-report/" TargetMode="External"/><Relationship Id="rId19" Type="http://schemas.openxmlformats.org/officeDocument/2006/relationships/hyperlink" Target="https://www.frc.org.uk/library/standards-codes-policy/corporate-governance/uk-corporate-governance-code/" TargetMode="External"/><Relationship Id="rId20" Type="http://schemas.openxmlformats.org/officeDocument/2006/relationships/hyperlink" Target="https://www.frc.org.uk/docs/9420/html/" TargetMode="External"/><Relationship Id="rId21" Type="http://schemas.openxmlformats.org/officeDocument/2006/relationships/hyperlink" Target="https://www.frc.org.uk/library/standards-codes-policy/audit-assurance-and-ethics/assurance-standard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UK SRS S1 First-Cycle Working Toolkit</dc:title>
  <dc:subject>Editable registers and approval aids for reporting basis, implementation planning, paragraph E3, claims, materiality, risk and opportunity identification, metrics, financial effects and board sign-off.</dc:subject>
  <dc:creator/>
  <cp:keywords>UK SRS S1, UK sustainability reporting, materiality, climate-only relief, sustainability-related risks and opportunities</cp:keywords>
  <dc:description>Reviewed 2 August 2026</dc:description>
  <cp:lastModifiedBy/>
  <cp:revision>1</cp:revision>
  <dcterms:created xsi:type="dcterms:W3CDTF">2013-12-23T23:15:00Z</dcterms:created>
  <dcterms:modified xsi:type="dcterms:W3CDTF">2013-12-23T23:15:00Z</dcterms:modified>
  <cp:category/>
</cp:coreProperties>
</file>