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jc w:val="left"/>
      </w:pPr>
      <w:r>
        <w:drawing>
          <wp:inline xmlns:a="http://schemas.openxmlformats.org/drawingml/2006/main" xmlns:pic="http://schemas.openxmlformats.org/drawingml/2006/picture">
            <wp:extent cx="4023360" cy="667031"/>
            <wp:docPr id="1" name="Picture 1"/>
            <wp:cNvGraphicFramePr>
              <a:graphicFrameLocks noChangeAspect="1"/>
            </wp:cNvGraphicFramePr>
            <a:graphic>
              <a:graphicData uri="http://schemas.openxmlformats.org/drawingml/2006/picture">
                <pic:pic>
                  <pic:nvPicPr>
                    <pic:cNvPr id="0" name="LRA_logo.png"/>
                    <pic:cNvPicPr/>
                  </pic:nvPicPr>
                  <pic:blipFill>
                    <a:blip r:embed="rId11"/>
                    <a:stretch>
                      <a:fillRect/>
                    </a:stretch>
                  </pic:blipFill>
                  <pic:spPr>
                    <a:xfrm>
                      <a:off x="0" y="0"/>
                      <a:ext cx="4023360" cy="667031"/>
                    </a:xfrm>
                    <a:prstGeom prst="rect"/>
                  </pic:spPr>
                </pic:pic>
              </a:graphicData>
            </a:graphic>
          </wp:inline>
        </w:drawing>
      </w:r>
    </w:p>
    <w:p>
      <w:pPr>
        <w:spacing w:before="160" w:after="160"/>
      </w:pPr>
      <w:r>
        <w:rPr>
          <w:rFonts w:ascii="Arial" w:hAnsi="Arial"/>
          <w:b/>
          <w:color w:val="1E5A8A"/>
          <w:sz w:val="21"/>
        </w:rPr>
        <w:t>LRA KENNISCENTRUM  ·  UK SRS S1</w:t>
      </w:r>
    </w:p>
    <w:p>
      <w:pPr>
        <w:pStyle w:val="Title"/>
        <w:spacing w:after="200"/>
      </w:pPr>
      <w:r>
        <w:rPr>
          <w:rFonts w:ascii="Arial" w:hAnsi="Arial"/>
          <w:b/>
          <w:color w:val="0D3068"/>
          <w:sz w:val="54"/>
        </w:rPr>
        <w:t>UK SRS S1 Rapportagevorming - een bewerkbaar ontwerpinstrument</w:t>
      </w:r>
    </w:p>
    <w:p>
      <w:pPr>
        <w:pStyle w:val="Subtitle"/>
        <w:spacing w:after="300"/>
      </w:pPr>
      <w:r>
        <w:rPr>
          <w:rFonts w:ascii="Arial" w:hAnsi="Arial"/>
          <w:color w:val="59636E"/>
          <w:sz w:val="24"/>
        </w:rPr>
        <w:t>Een op Word gebaseerd kader voor het opstellen van jaarverslagen met basis voor voorbereiding, vier pijlers aanwijzingen, bewijsvelden, kruisverwijzingsindex en sign-offcontroles.</w:t>
      </w:r>
    </w:p>
    <w:tbl>
      <w:tblPr>
        <w:tblW w:type="auto" w:w="0"/>
        <w:jc w:val="left"/>
        <w:tblLayout w:type="fixed"/>
        <w:tblLook w:firstColumn="1" w:firstRow="1" w:lastColumn="0" w:lastRow="0" w:noHBand="0" w:noVBand="1" w:val="04A0"/>
      </w:tblPr>
      <w:tblGrid>
        <w:gridCol w:w="9792"/>
      </w:tblGrid>
      <w:tr>
        <w:tc>
          <w:tcPr>
            <w:tcW w:type="dxa" w:w="9922"/>
            <w:shd w:fill="0D3068"/>
            <w:tcMar>
              <w:top w:w="0" w:type="dxa"/>
              <w:start w:w="0" w:type="dxa"/>
              <w:bottom w:w="0" w:type="dxa"/>
              <w:end w:w="0" w:type="dxa"/>
            </w:tcMar>
          </w:tcPr>
          <w:p>
            <w:r/>
          </w:p>
        </w:tc>
      </w:tr>
    </w:tbl>
    <w:tbl>
      <w:tblPr>
        <w:tblW w:type="auto" w:w="0"/>
        <w:jc w:val="left"/>
        <w:tblLayout w:type="fixed"/>
        <w:tblLook w:firstColumn="1" w:firstRow="1" w:lastColumn="0" w:lastRow="0" w:noHBand="0" w:noVBand="1" w:val="04A0"/>
      </w:tblPr>
      <w:tblGrid>
        <w:gridCol w:w="4961"/>
        <w:gridCol w:w="4961"/>
      </w:tblGrid>
      <w:tr>
        <w:tc>
          <w:tcPr>
            <w:tcW w:type="dxa" w:w="2232"/>
            <w:shd w:fill="EAF2F8"/>
            <w:tcMar>
              <w:top w:w="100" w:type="dxa"/>
              <w:start w:w="120" w:type="dxa"/>
              <w:bottom w:w="100" w:type="dxa"/>
              <w:end w:w="120" w:type="dxa"/>
            </w:tcMar>
            <w:tcBorders>
              <w:top w:val="single" w:sz="4" w:color="B9CAD9"/>
              <w:left w:val="single" w:sz="4" w:color="B9CAD9"/>
              <w:bottom w:val="single" w:sz="4" w:color="B9CAD9"/>
              <w:right w:val="single" w:sz="4" w:color="B9CAD9"/>
            </w:tcBorders>
          </w:tcPr>
          <w:p>
            <w:r>
              <w:rPr>
                <w:rFonts w:ascii="Arial" w:hAnsi="Arial"/>
                <w:b/>
                <w:color w:val="0D3068"/>
                <w:sz w:val="17"/>
              </w:rPr>
              <w:t>Artikel ID</w:t>
            </w:r>
          </w:p>
        </w:tc>
        <w:tc>
          <w:tcPr>
            <w:tcW w:type="dxa" w:w="7560"/>
            <w:tcMar>
              <w:top w:w="100" w:type="dxa"/>
              <w:start w:w="120" w:type="dxa"/>
              <w:bottom w:w="100" w:type="dxa"/>
              <w:end w:w="120" w:type="dxa"/>
            </w:tcMar>
            <w:tcBorders>
              <w:top w:val="single" w:sz="4" w:color="B9CAD9"/>
              <w:left w:val="single" w:sz="4" w:color="B9CAD9"/>
              <w:bottom w:val="single" w:sz="4" w:color="B9CAD9"/>
              <w:right w:val="single" w:sz="4" w:color="B9CAD9"/>
            </w:tcBorders>
          </w:tcPr>
          <w:p>
            <w:r>
              <w:rPr>
                <w:rFonts w:ascii="Arial" w:hAnsi="Arial"/>
                <w:b w:val="0"/>
                <w:color w:val="18212B"/>
                <w:sz w:val="17"/>
              </w:rPr>
              <w:t>UKSRS1-TEMPLATE-EDITABLE</w:t>
            </w:r>
          </w:p>
        </w:tc>
      </w:tr>
      <w:tr>
        <w:tc>
          <w:tcPr>
            <w:tcW w:type="dxa" w:w="2232"/>
            <w:shd w:fill="EAF2F8"/>
            <w:tcMar>
              <w:top w:w="100" w:type="dxa"/>
              <w:start w:w="120" w:type="dxa"/>
              <w:bottom w:w="100" w:type="dxa"/>
              <w:end w:w="120" w:type="dxa"/>
            </w:tcMar>
            <w:tcBorders>
              <w:top w:val="single" w:sz="4" w:color="B9CAD9"/>
              <w:left w:val="single" w:sz="4" w:color="B9CAD9"/>
              <w:bottom w:val="single" w:sz="4" w:color="B9CAD9"/>
              <w:right w:val="single" w:sz="4" w:color="B9CAD9"/>
            </w:tcBorders>
          </w:tcPr>
          <w:p>
            <w:r>
              <w:rPr>
                <w:rFonts w:ascii="Arial" w:hAnsi="Arial"/>
                <w:b/>
                <w:color w:val="0D3068"/>
                <w:sz w:val="17"/>
              </w:rPr>
              <w:t>Formateren</w:t>
            </w:r>
          </w:p>
        </w:tc>
        <w:tc>
          <w:tcPr>
            <w:tcW w:type="dxa" w:w="7560"/>
            <w:tcMar>
              <w:top w:w="100" w:type="dxa"/>
              <w:start w:w="120" w:type="dxa"/>
              <w:bottom w:w="100" w:type="dxa"/>
              <w:end w:w="120" w:type="dxa"/>
            </w:tcMar>
            <w:tcBorders>
              <w:top w:val="single" w:sz="4" w:color="B9CAD9"/>
              <w:left w:val="single" w:sz="4" w:color="B9CAD9"/>
              <w:bottom w:val="single" w:sz="4" w:color="B9CAD9"/>
              <w:right w:val="single" w:sz="4" w:color="B9CAD9"/>
            </w:tcBorders>
          </w:tcPr>
          <w:p>
            <w:r>
              <w:rPr>
                <w:rFonts w:ascii="Arial" w:hAnsi="Arial"/>
                <w:b w:val="0"/>
                <w:color w:val="18212B"/>
                <w:sz w:val="17"/>
              </w:rPr>
              <w:t>Bewerkbaar implementatietool</w:t>
            </w:r>
          </w:p>
        </w:tc>
      </w:tr>
      <w:tr>
        <w:tc>
          <w:tcPr>
            <w:tcW w:type="dxa" w:w="2232"/>
            <w:shd w:fill="EAF2F8"/>
            <w:tcMar>
              <w:top w:w="100" w:type="dxa"/>
              <w:start w:w="120" w:type="dxa"/>
              <w:bottom w:w="100" w:type="dxa"/>
              <w:end w:w="120" w:type="dxa"/>
            </w:tcMar>
            <w:tcBorders>
              <w:top w:val="single" w:sz="4" w:color="B9CAD9"/>
              <w:left w:val="single" w:sz="4" w:color="B9CAD9"/>
              <w:bottom w:val="single" w:sz="4" w:color="B9CAD9"/>
              <w:right w:val="single" w:sz="4" w:color="B9CAD9"/>
            </w:tcBorders>
          </w:tcPr>
          <w:p>
            <w:r>
              <w:rPr>
                <w:rFonts w:ascii="Arial" w:hAnsi="Arial"/>
                <w:b/>
                <w:color w:val="0D3068"/>
                <w:sz w:val="17"/>
              </w:rPr>
              <w:t>Eerste publiek</w:t>
            </w:r>
          </w:p>
        </w:tc>
        <w:tc>
          <w:tcPr>
            <w:tcW w:type="dxa" w:w="7560"/>
            <w:tcMar>
              <w:top w:w="100" w:type="dxa"/>
              <w:start w:w="120" w:type="dxa"/>
              <w:bottom w:w="100" w:type="dxa"/>
              <w:end w:w="120" w:type="dxa"/>
            </w:tcMar>
            <w:tcBorders>
              <w:top w:val="single" w:sz="4" w:color="B9CAD9"/>
              <w:left w:val="single" w:sz="4" w:color="B9CAD9"/>
              <w:bottom w:val="single" w:sz="4" w:color="B9CAD9"/>
              <w:right w:val="single" w:sz="4" w:color="B9CAD9"/>
            </w:tcBorders>
          </w:tcPr>
          <w:p>
            <w:r>
              <w:rPr>
                <w:rFonts w:ascii="Arial" w:hAnsi="Arial"/>
                <w:b w:val="0"/>
                <w:color w:val="18212B"/>
                <w:sz w:val="17"/>
              </w:rPr>
              <w:t>UK Rapporteur-teams van SRS, financiële, juridische, governance en technische beoordelaars</w:t>
            </w:r>
          </w:p>
        </w:tc>
      </w:tr>
      <w:tr>
        <w:tc>
          <w:tcPr>
            <w:tcW w:type="dxa" w:w="2232"/>
            <w:shd w:fill="EAF2F8"/>
            <w:tcMar>
              <w:top w:w="100" w:type="dxa"/>
              <w:start w:w="120" w:type="dxa"/>
              <w:bottom w:w="100" w:type="dxa"/>
              <w:end w:w="120" w:type="dxa"/>
            </w:tcMar>
            <w:tcBorders>
              <w:top w:val="single" w:sz="4" w:color="B9CAD9"/>
              <w:left w:val="single" w:sz="4" w:color="B9CAD9"/>
              <w:bottom w:val="single" w:sz="4" w:color="B9CAD9"/>
              <w:right w:val="single" w:sz="4" w:color="B9CAD9"/>
            </w:tcBorders>
          </w:tcPr>
          <w:p>
            <w:r>
              <w:rPr>
                <w:rFonts w:ascii="Arial" w:hAnsi="Arial"/>
                <w:b/>
                <w:color w:val="0D3068"/>
                <w:sz w:val="17"/>
              </w:rPr>
              <w:t>Technische status</w:t>
            </w:r>
          </w:p>
        </w:tc>
        <w:tc>
          <w:tcPr>
            <w:tcW w:type="dxa" w:w="7560"/>
            <w:tcMar>
              <w:top w:w="100" w:type="dxa"/>
              <w:start w:w="120" w:type="dxa"/>
              <w:bottom w:w="100" w:type="dxa"/>
              <w:end w:w="120" w:type="dxa"/>
            </w:tcMar>
            <w:tcBorders>
              <w:top w:val="single" w:sz="4" w:color="B9CAD9"/>
              <w:left w:val="single" w:sz="4" w:color="B9CAD9"/>
              <w:bottom w:val="single" w:sz="4" w:color="B9CAD9"/>
              <w:right w:val="single" w:sz="4" w:color="B9CAD9"/>
            </w:tcBorders>
          </w:tcPr>
          <w:p>
            <w:r>
              <w:rPr>
                <w:rFonts w:ascii="Arial" w:hAnsi="Arial"/>
                <w:b w:val="0"/>
                <w:color w:val="18212B"/>
                <w:sz w:val="17"/>
              </w:rPr>
              <w:t>Opgesteld op basis van de UK SRS-edities die op 25 februari 2026 zijn gepubliceerd; beoordeeld op 2 augustus 2026.</w:t>
            </w:r>
          </w:p>
        </w:tc>
      </w:tr>
    </w:tbl>
    <w:p>
      <w:pPr>
        <w:spacing w:before="320"/>
      </w:pPr>
      <w:r>
        <w:rPr>
          <w:rFonts w:ascii="Arial" w:hAnsi="Arial"/>
          <w:i/>
          <w:color w:val="59636E"/>
          <w:sz w:val="18"/>
        </w:rPr>
        <w:t>Educatief materiaal voor professionals. Illustratieve voorbeelden en formuleringen moeten worden aangepast en technisch beoordeeld.</w:t>
      </w:r>
    </w:p>
    <w:p>
      <w:r>
        <w:br w:type="page"/>
      </w:r>
    </w:p>
    <w:tbl>
      <w:tblPr>
        <w:tblW w:type="auto" w:w="0"/>
        <w:jc w:val="left"/>
        <w:tblLayout w:type="fixed"/>
        <w:tblLook w:firstColumn="1" w:firstRow="1" w:lastColumn="0" w:lastRow="0" w:noHBand="0" w:noVBand="1" w:val="04A0"/>
      </w:tblPr>
      <w:tblGrid>
        <w:gridCol w:w="9922"/>
      </w:tblGrid>
      <w:tr>
        <w:trPr>
          <w:cantSplit/>
        </w:trPr>
        <w:tc>
          <w:tcPr>
            <w:tcW w:type="dxa" w:w="9792"/>
            <w:shd w:fill="FFF4DF"/>
            <w:tcBorders>
              <w:top w:val="single" w:sz="3" w:color="B9CAD9"/>
              <w:left w:val="single" w:sz="18" w:color="A76900"/>
              <w:bottom w:val="single" w:sz="3" w:color="B9CAD9"/>
              <w:right w:val="single" w:sz="3" w:color="B9CAD9"/>
            </w:tcBorders>
            <w:tcMar>
              <w:top w:w="120" w:type="dxa"/>
              <w:start w:w="150" w:type="dxa"/>
              <w:bottom w:w="120" w:type="dxa"/>
              <w:end w:w="150" w:type="dxa"/>
            </w:tcMar>
          </w:tcPr>
          <w:p>
            <w:pPr>
              <w:spacing w:after="60"/>
            </w:pPr>
            <w:r>
              <w:rPr>
                <w:rFonts w:ascii="Arial" w:hAnsi="Arial"/>
                <w:b/>
                <w:color w:val="A76900"/>
                <w:sz w:val="21"/>
              </w:rPr>
              <w:t>Hoe deze sjabloon te gebruiken</w:t>
            </w:r>
          </w:p>
          <w:p>
            <w:pPr>
              <w:spacing w:after="0"/>
            </w:pPr>
            <w:r>
              <w:rPr>
                <w:rFonts w:ascii="Arial" w:hAnsi="Arial"/>
                <w:color w:val="18212B"/>
                <w:sz w:val="19"/>
              </w:rPr>
              <w:t>Vul alleen de oproepen in die relevant zijn voor materiële informatie en de goedgekeurde rapportagebasis. Vervang alle in bracket geplaatste tekst. Verbind elke materiële verklaring met bewijsmateriaal, een benoemde eigenaar en een beoordelaar. verwijder ongebruikte opstelbepalingen voordat ze worden gepubliceerd. Deze tool is geen officiële regeringssjabloon en garandeert niet naleving.</w:t>
            </w:r>
          </w:p>
        </w:tc>
      </w:tr>
    </w:tbl>
    <w:p>
      <w:pPr>
        <w:spacing w:after="20"/>
      </w:pPr>
    </w:p>
    <w:tbl>
      <w:tblPr>
        <w:tblW w:type="auto" w:w="0"/>
        <w:jc w:val="left"/>
        <w:tblLayout w:type="fixed"/>
        <w:tblLook w:firstColumn="1" w:firstRow="1" w:lastColumn="0" w:lastRow="0" w:noHBand="0" w:noVBand="1" w:val="04A0"/>
      </w:tblPr>
      <w:tblGrid>
        <w:gridCol w:w="9922"/>
      </w:tblGrid>
      <w:tr>
        <w:trPr>
          <w:cantSplit/>
        </w:trPr>
        <w:tc>
          <w:tcPr>
            <w:tcW w:type="dxa" w:w="9792"/>
            <w:shd w:fill="F5F8FB"/>
            <w:tcBorders>
              <w:top w:val="single" w:sz="3" w:color="B9CAD9"/>
              <w:left w:val="single" w:sz="18" w:color="1E5A8A"/>
              <w:bottom w:val="single" w:sz="3" w:color="B9CAD9"/>
              <w:right w:val="single" w:sz="3" w:color="B9CAD9"/>
            </w:tcBorders>
            <w:tcMar>
              <w:top w:w="120" w:type="dxa"/>
              <w:start w:w="150" w:type="dxa"/>
              <w:bottom w:w="120" w:type="dxa"/>
              <w:end w:w="150" w:type="dxa"/>
            </w:tcMar>
          </w:tcPr>
          <w:p>
            <w:pPr>
              <w:spacing w:after="60"/>
            </w:pPr>
            <w:r>
              <w:rPr>
                <w:rFonts w:ascii="Arial" w:hAnsi="Arial"/>
                <w:b/>
                <w:color w:val="1E5A8A"/>
                <w:sz w:val="21"/>
              </w:rPr>
              <w:t>Huidige status</w:t>
            </w:r>
          </w:p>
          <w:p>
            <w:pPr>
              <w:spacing w:after="0"/>
            </w:pPr>
            <w:r>
              <w:rPr>
                <w:rFonts w:ascii="Arial" w:hAnsi="Arial"/>
                <w:color w:val="18212B"/>
                <w:sz w:val="19"/>
              </w:rPr>
              <w:t>UK SRS S1 en UK SRS S2 werden uitgevaardigd op 25 februari 2026 De volgende voorwaarden zijn: de verplichting om een bedrijf te melden, het recht op een andere onderneming of een andere onderneming, en de verplichting tot een andere onderneming om een bedrijf of een andere bedrijf te melken, is niet van toepassing op de verplichting van de FCA.</w:t>
            </w:r>
          </w:p>
        </w:tc>
      </w:tr>
    </w:tbl>
    <w:p>
      <w:pPr>
        <w:spacing w:after="20"/>
      </w:pPr>
    </w:p>
    <w:p>
      <w:pPr>
        <w:pStyle w:val="Heading1"/>
        <w:pageBreakBefore/>
      </w:pPr>
      <w:r>
        <w:rPr>
          <w:rFonts w:ascii="Arial" w:hAnsi="Arial"/>
          <w:b/>
          <w:color w:val="0D3068"/>
          <w:sz w:val="38"/>
        </w:rPr>
        <w:t>1- basis van de voorbereiding</w:t>
      </w: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Ja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Vermeld de rapportage-entiteit en vergelijk deze met de bijbehorende financiële overzichten.</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Ontwerp van antwoord</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[Voeg een entiteitsspecifieke openbaarmaking in]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Bewijs / bron</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[Voer bewijsgegevens, systeemverslagen, berekeningen, beleidsregels, notulen of kruisverwijzingen in]</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Eigenaar / beoordelaar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Eigenaar: [ ] Recenseur: [ ] Status: [Niet gestart / Ontwerp / Gecontroleerd / Goedgekeurd]</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Ja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Geef de periode aan en bevestig dat deze op dezelfde tijd als de bijbehorende jaarrekening wordt gepubliceerd.</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Ontwerp van antwoord</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[Voeg een entiteitsspecifieke openbaarmaking in]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Bewijs / bron</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[Voer bewijsgegevens, systeemverslagen, berekeningen, beleidsregels, notulen of kruisverwijzingen in]</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Eigenaar / beoordelaar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Eigenaar: [ ] Recenseur: [ ] Status: [Niet gestart / Ontwerp / Gecontroleerd / Goedgekeurd]</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Ja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Het staat vrijwillig gebruik of de exacte verplichting van wet/regel en de geldigheidsduur ervan.</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Ontwerp van antwoord</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[Voeg een entiteitsspecifieke openbaarmaking in]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Bewijs / bron</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[Voer bewijsgegevens, systeemverslagen, berekeningen, beleidsregels, notulen of kruisverwijzingen in]</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Eigenaar / beoordelaar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Eigenaar: [ ] Recenseur: [ ] Status: [Niet gestart / Ontwerp / Gecontroleerd / Goedgekeurd]</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Ja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Identificeren UK SRS S1 en S2 en de februari 2026 de uitgaven; andere richtlijnen afzonderlijk te identificeren.</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Ontwerp van antwoord</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[Voeg een entiteitsspecifieke openbaarmaking in]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Bewijs / bron</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[Voer bewijsgegevens, systeemverslagen, berekeningen, beleidsregels, notulen of kruisverwijzingen in]</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Eigenaar / beoordelaar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Eigenaar: [ ] Recenseur: [ ] Status: [Niet gestart / Ontwerp / Gecontroleerd / Goedgekeurd]</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Ja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Verklaar de primaire gebruikers, vooruitzichten, de test van de materialiteit van informatie, aggregatie, verduistering en herbeoordeling.</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Ontwerp van antwoord</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[Voeg een entiteitsspecifieke openbaarmaking in]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Bewijs / bron</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[Voer bewijsgegevens, systeemverslagen, berekeningen, beleidsregels, notulen of kruisverwijzingen in]</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Eigenaar / beoordelaar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Eigenaar: [ ] Recenseur: [ ] Status: [Niet gestart / Ontwerp / Gecontroleerd / Goedgekeurd]</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Ja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Identificeer de sectoren en specifieke bronnen die daadwerkelijk zijn toegepast, met inbegrip van genomen of aangepaste maatstaven.</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Ontwerp van antwoord</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[Voeg een entiteitsspecifieke openbaarmaking in]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Bewijs / bron</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[Voer bewijsgegevens, systeemverslagen, berekeningen, beleidsregels, notulen of kruisverwijzingen in]</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Eigenaar / beoordelaar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Eigenaar: [ ] Recenseur: [ ] Status: [Niet gestart / Ontwerp / Gecontroleerd / Goedgekeurd]</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Ja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Een lijst van elke paragraaf, redenen, betrokken openbaarmaking, compenserende informatie en claim effect.</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Ontwerp van antwoord</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[Voeg een entiteitsspecifieke openbaarmaking in]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Bewijs / bron</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[Voer bewijsgegevens, systeemverslagen, berekeningen, beleidsregels, notulen of kruisverwijzingen in]</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Eigenaar / beoordelaar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Eigenaar: [ ] Recenseur: [ ] Status: [Niet gestart / Ontwerp / Gecontroleerd / Goedgekeurd]</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Ja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Beschrijf de uitspraken met het meest significante effect op de openbaarmaking.</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Ontwerp van antwoord</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[Voeg een entiteitsspecifieke openbaarmaking in]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Bewijs / bron</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[Voer bewijsgegevens, systeemverslagen, berekeningen, beleidsregels, notulen of kruisverwijzingen in]</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Eigenaar / beoordelaar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Eigenaar: [ ] Recenseur: [ ] Status: [Niet gestart / Ontwerp / Gecontroleerd / Goedgekeurd]</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Ja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Identificeer zeer onzekere bedragen, bronnen, aannames, gevoeligheid en mogelijke uitkomsten.</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Ontwerp van antwoord</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[Voeg een entiteitsspecifieke openbaarmaking in]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Bewijs / bron</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[Voer bewijsgegevens, systeemverslagen, berekeningen, beleidsregels, notulen of kruisverwijzingen in]</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Eigenaar / beoordelaar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Eigenaar: [ ] Recenseur: [ ] Status: [Niet gestart / Ontwerp / Gecontroleerd / Goedgekeurd]</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Ja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Beschrijf de plaatsing van het rapport en maak een lijst met nauwkeurige gecontroleerde referenties.</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Ontwerp van antwoord</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[Voeg een entiteitsspecifieke openbaarmaking in]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Bewijs / bron</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[Voer bewijsgegevens, systeemverslagen, berekeningen, beleidsregels, notulen of kruisverwijzingen in]</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Eigenaar / beoordelaar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Eigenaar: [ ] Recenseur: [ ] Status: [Niet gestart / Ontwerp / Gecontroleerd / Goedgekeurd]</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Ja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Voeg de tekst alleen in na technische en juridische herziening van de volledige basis.</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Ontwerp van antwoord</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[Voeg een entiteitsspecifieke openbaarmaking in]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Bewijs / bron</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[Voer bewijsgegevens, systeemverslagen, berekeningen, beleidsregels, notulen of kruisverwijzingen in]</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Eigenaar / beoordelaar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Eigenaar: [ ] Recenseur: [ ] Status: [Niet gestart / Ontwerp / Gecontroleerd / Goedgekeurd]</w:t>
                  </w:r>
                </w:p>
              </w:tc>
            </w:tr>
          </w:tbl>
          <w:p/>
        </w:tc>
      </w:tr>
    </w:tbl>
    <w:p>
      <w:pPr>
        <w:spacing w:after="40"/>
      </w:pPr>
    </w:p>
    <w:p>
      <w:pPr>
        <w:pStyle w:val="Heading1"/>
        <w:pageBreakBefore/>
      </w:pPr>
      <w:r>
        <w:rPr>
          <w:rFonts w:ascii="Arial" w:hAnsi="Arial"/>
          <w:b/>
          <w:color w:val="0D3068"/>
          <w:sz w:val="38"/>
        </w:rPr>
        <w:t>2- Uitvoerend overzicht</w:t>
      </w: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Ja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Samenvat de materiële risico's en kansen die met duurzaamheid verband houden en die gevolgen hebben voor de vooruitzichten en de grote veranderingen in de periode.</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Ontwerp van antwoord</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[Voeg een entiteitsspecifieke openbaarmaking in]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Bewijs / bron</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[Voer bewijsgegevens, systeemverslagen, berekeningen, beleidsregels, notulen of kruisverwijzingen in]</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Eigenaar / beoordelaar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Eigenaar: [ ] Recenseur: [ ] Status: [Niet gestart / Ontwerp / Gecontroleerd / Goedgekeurd]</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Ja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Samenvat het belangrijkste bedrijfsmodel, de strategie, de financiële gevolgen en de conclusies over veerkracht.</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Ontwerp van antwoord</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[Voeg een entiteitsspecifieke openbaarmaking in]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Bewijs / bron</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[Voer bewijsgegevens, systeemverslagen, berekeningen, beleidsregels, notulen of kruisverwijzingen in]</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Eigenaar / beoordelaar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Eigenaar: [ ] Recenseur: [ ] Status: [Niet gestart / Ontwerp / Gecontroleerd / Goedgekeurd]</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Ja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Samenvat de afzonderlijke maatregelen, materiële onzekerheid, beperkingen van het toepassingsgebied en de verzekeringsdekking.</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Ontwerp van antwoord</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[Voeg een entiteitsspecifieke openbaarmaking in]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Bewijs / bron</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[Voer bewijsgegevens, systeemverslagen, berekeningen, beleidsregels, notulen of kruisverwijzingen in]</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Eigenaar / beoordelaar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Eigenaar: [ ] Recenseur: [ ] Status: [Niet gestart / Ontwerp / Gecontroleerd / Goedgekeurd]</w:t>
                  </w:r>
                </w:p>
              </w:tc>
            </w:tr>
          </w:tbl>
          <w:p/>
        </w:tc>
      </w:tr>
    </w:tbl>
    <w:p>
      <w:pPr>
        <w:spacing w:after="40"/>
      </w:pPr>
    </w:p>
    <w:p>
      <w:pPr>
        <w:pStyle w:val="Heading1"/>
        <w:pageBreakBefore/>
      </w:pPr>
      <w:r>
        <w:rPr>
          <w:rFonts w:ascii="Arial" w:hAnsi="Arial"/>
          <w:b/>
          <w:color w:val="0D3068"/>
          <w:sz w:val="38"/>
        </w:rPr>
        <w:t>3- Governance</w:t>
      </w: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Ja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Identificeren van het orgaan of individu en hoe de verantwoordelijkheden zich weerspiegelen in mandaat en beleid.</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Ontwerp van antwoord</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[Voeg een entiteitsspecifieke openbaarmaking in]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Bewijs / bron</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[Voer bewijsgegevens, systeemverslagen, berekeningen, beleidsregels, notulen of kruisverwijzingen in]</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Eigenaar / beoordelaar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Eigenaar: [ ] Recenseur: [ ] Status: [Niet gestart / Ontwerp / Gecontroleerd / Goedgekeurd]</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Ja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Verklaar hoe passende vaardigheden beschikbaar zijn of ontwikkeld worden.</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Ontwerp van antwoord</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[Voeg een entiteitsspecifieke openbaarmaking in]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Bewijs / bron</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[Voer bewijsgegevens, systeemverslagen, berekeningen, beleidsregels, notulen of kruisverwijzingen in]</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Eigenaar / beoordelaar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Eigenaar: [ ] Recenseur: [ ] Status: [Niet gestart / Ontwerp / Gecontroleerd / Goedgekeurd]</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Ja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Verklaar hoe en hoe vaak het lichaam wordt geïnformeerd en welke escaleringsgrenzen van toepassing zijn.</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Ontwerp van antwoord</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[Voeg een entiteitsspecifieke openbaarmaking in]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Bewijs / bron</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[Voer bewijsgegevens, systeemverslagen, berekeningen, beleidsregels, notulen of kruisverwijzingen in]</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Eigenaar / beoordelaar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Eigenaar: [ ] Recenseur: [ ] Status: [Niet gestart / Ontwerp / Gecontroleerd / Goedgekeurd]</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Ja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Verduide hoe duurzaamheidsaangelegenheden worden beschouwd in strategie, belangrijke transacties en risicobeheer.</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Ontwerp van antwoord</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[Voeg een entiteitsspecifieke openbaarmaking in]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Bewijs / bron</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[Voer bewijsgegevens, systeemverslagen, berekeningen, beleidsregels, notulen of kruisverwijzingen in]</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Eigenaar / beoordelaar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Eigenaar: [ ] Recenseur: [ ] Status: [Niet gestart / Ontwerp / Gecontroleerd / Goedgekeurd]</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Ja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Verduidelijk de controle op de doelstelling, de vooruitgang en eventuele vergoedingsverhoudingen.</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Ontwerp van antwoord</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[Voeg een entiteitsspecifieke openbaarmaking in]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Bewijs / bron</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[Voer bewijsgegevens, systeemverslagen, berekeningen, beleidsregels, notulen of kruisverwijzingen in]</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Eigenaar / beoordelaar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Eigenaar: [ ] Recenseur: [ ] Status: [Niet gestart / Ontwerp / Gecontroleerd / Goedgekeurd]</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Ja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Verduidelijk de delegatie van het management, de rapportagelijnen en de integratie van controles met andere functies.</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Ontwerp van antwoord</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[Voeg een entiteitsspecifieke openbaarmaking in]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Bewijs / bron</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[Voer bewijsgegevens, systeemverslagen, berekeningen, beleidsregels, notulen of kruisverwijzingen in]</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Eigenaar / beoordelaar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Eigenaar: [ ] Recenseur: [ ] Status: [Niet gestart / Ontwerp / Gecontroleerd / Goedgekeurd]</w:t>
                  </w:r>
                </w:p>
              </w:tc>
            </w:tr>
          </w:tbl>
          <w:p/>
        </w:tc>
      </w:tr>
    </w:tbl>
    <w:p>
      <w:pPr>
        <w:spacing w:after="40"/>
      </w:pPr>
    </w:p>
    <w:p>
      <w:pPr>
        <w:pStyle w:val="Heading1"/>
        <w:pageBreakBefore/>
      </w:pPr>
      <w:r>
        <w:rPr>
          <w:rFonts w:ascii="Arial" w:hAnsi="Arial"/>
          <w:b/>
          <w:color w:val="0D3068"/>
          <w:sz w:val="38"/>
        </w:rPr>
        <w:t>4Strategie .</w:t>
      </w: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Ja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Beschrijf de zaak, oorzaak, blootstelling, concentratie en tijdhorisont.</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Ontwerp van antwoord</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[Voeg een entiteitsspecifieke openbaarmaking in]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Bewijs / bron</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[Voer bewijsgegevens, systeemverslagen, berekeningen, beleidsregels, notulen of kruisverwijzingen in]</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Eigenaar / beoordelaar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Eigenaar: [ ] Recenseur: [ ] Status: [Niet gestart / Ontwerp / Gecontroleerd / Goedgekeurd]</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Ja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Beschrijf de huidige en verwachte effecten en waar ze zich concentreren.</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Ontwerp van antwoord</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[Voeg een entiteitsspecifieke openbaarmaking in]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Bewijs / bron</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[Voer bewijsgegevens, systeemverslagen, berekeningen, beleidsregels, notulen of kruisverwijzingen in]</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Eigenaar / beoordelaar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Eigenaar: [ ] Recenseur: [ ] Status: [Niet gestart / Ontwerp / Gecontroleerd / Goedgekeurd]</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Ja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Beschrijf de antwoorden, plannen, vorderingen, beslissingen en compromis.</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Ontwerp van antwoord</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[Voeg een entiteitsspecifieke openbaarmaking in]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Bewijs / bron</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[Voer bewijsgegevens, systeemverslagen, berekeningen, beleidsregels, notulen of kruisverwijzingen in]</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Eigenaar / beoordelaar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Eigenaar: [ ] Recenseur: [ ] Status: [Niet gestart / Ontwerp / Gecontroleerd / Goedgekeurd]</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Ja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Beschrijf de gevolgen voor de financiële positie, de prestaties en de kasstromen in de periode.</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Ontwerp van antwoord</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[Voeg een entiteitsspecifieke openbaarmaking in]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Bewijs / bron</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[Voer bewijsgegevens, systeemverslagen, berekeningen, beleidsregels, notulen of kruisverwijzingen in]</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Eigenaar / beoordelaar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Eigenaar: [ ] Recenseur: [ ] Status: [Niet gestart / Ontwerp / Gecontroleerd / Goedgekeurd]</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Ja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Beschrijf de verwachte gevolgen op korte, middellange en lange termijn en hoe deze worden opgenomen in de financiële planning.</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Ontwerp van antwoord</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[Voeg een entiteitsspecifieke openbaarmaking in]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Bewijs / bron</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[Voer bewijsgegevens, systeemverslagen, berekeningen, beleidsregels, notulen of kruisverwijzingen in]</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Eigenaar / beoordelaar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Eigenaar: [ ] Recenseur: [ ] Status: [Niet gestart / Ontwerp / Gecontroleerd / Goedgekeurd]</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Ja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Geef hoeveelheden of afstanden aan, of leg uit welke hulpverlening en de aangetaste lijnartikelen gebruikt worden.</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Ontwerp van antwoord</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[Voeg een entiteitsspecifieke openbaarmaking in]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Bewijs / bron</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[Voer bewijsgegevens, systeemverslagen, berekeningen, beleidsregels, notulen of kruisverwijzingen in]</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Eigenaar / beoordelaar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Eigenaar: [ ] Recenseur: [ ] Status: [Niet gestart / Ontwerp / Gecontroleerd / Goedgekeurd]</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Ja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Beschrijf de beoordeling, de aannames, het aanpassingsvermogen en de beperkingen.</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Ontwerp van antwoord</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[Voeg een entiteitsspecifieke openbaarmaking in]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Bewijs / bron</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[Voer bewijsgegevens, systeemverslagen, berekeningen, beleidsregels, notulen of kruisverwijzingen in]</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Eigenaar / beoordelaar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Eigenaar: [ ] Recenseur: [ ] Status: [Niet gestart / Ontwerp / Gecontroleerd / Goedgekeurd]</w:t>
                  </w:r>
                </w:p>
              </w:tc>
            </w:tr>
          </w:tbl>
          <w:p/>
        </w:tc>
      </w:tr>
    </w:tbl>
    <w:p>
      <w:pPr>
        <w:spacing w:after="40"/>
      </w:pPr>
    </w:p>
    <w:p>
      <w:pPr>
        <w:pStyle w:val="Heading1"/>
        <w:pageBreakBefore/>
      </w:pPr>
      <w:r>
        <w:rPr>
          <w:rFonts w:ascii="Arial" w:hAnsi="Arial"/>
          <w:b/>
          <w:color w:val="0D3068"/>
          <w:sz w:val="38"/>
        </w:rPr>
        <w:t>5Risicomanagement</w:t>
      </w: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Ja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Verklaar methoden, bronnen, dekking van de waardeketen en triggers.</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Ontwerp van antwoord</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[Voeg een entiteitsspecifieke openbaarmaking in]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Bewijs / bron</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[Voer bewijsgegevens, systeemverslagen, berekeningen, beleidsregels, notulen of kruisverwijzingen in]</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Eigenaar / beoordelaar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Eigenaar: [ ] Recenseur: [ ] Status: [Niet gestart / Ontwerp / Gecontroleerd / Goedgekeurd]</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Ja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Verduide criteria, onzekerheid, prioriteit en verbanden met de materieel karakter.</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Ontwerp van antwoord</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[Voeg een entiteitsspecifieke openbaarmaking in]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Bewijs / bron</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[Voer bewijsgegevens, systeemverslagen, berekeningen, beleidsregels, notulen of kruisverwijzingen in]</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Eigenaar / beoordelaar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Eigenaar: [ ] Recenseur: [ ] Status: [Niet gestart / Ontwerp / Gecontroleerd / Goedgekeurd]</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Ja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Verklaar metrices, drempels, incidenten, veranderingen en escalatie.</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Ontwerp van antwoord</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[Voeg een entiteitsspecifieke openbaarmaking in]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Bewijs / bron</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[Voer bewijsgegevens, systeemverslagen, berekeningen, beleidsregels, notulen of kruisverwijzingen in]</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Eigenaar / beoordelaar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Eigenaar: [ ] Recenseur: [ ] Status: [Niet gestart / Ontwerp / Gecontroleerd / Goedgekeurd]</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Ja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Verklaar de integratie met het risicomanagement, strategie, financiën en controles van ondernemingen.</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Ontwerp van antwoord</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[Voeg een entiteitsspecifieke openbaarmaking in]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Bewijs / bron</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[Voer bewijsgegevens, systeemverslagen, berekeningen, beleidsregels, notulen of kruisverwijzingen in]</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Eigenaar / beoordelaar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Eigenaar: [ ] Recenseur: [ ] Status: [Niet gestart / Ontwerp / Gecontroleerd / Goedgekeurd]</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Ja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Beschrijf de significante veranderingen in de vorige periode.</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Ontwerp van antwoord</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[Voeg een entiteitsspecifieke openbaarmaking in]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Bewijs / bron</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[Voer bewijsgegevens, systeemverslagen, berekeningen, beleidsregels, notulen of kruisverwijzingen in]</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Eigenaar / beoordelaar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Eigenaar: [ ] Recenseur: [ ] Status: [Niet gestart / Ontwerp / Gecontroleerd / Goedgekeurd]</w:t>
                  </w:r>
                </w:p>
              </w:tc>
            </w:tr>
          </w:tbl>
          <w:p/>
        </w:tc>
      </w:tr>
    </w:tbl>
    <w:p>
      <w:pPr>
        <w:spacing w:after="40"/>
      </w:pPr>
    </w:p>
    <w:p>
      <w:pPr>
        <w:pStyle w:val="Heading1"/>
        <w:pageBreakBefore/>
      </w:pPr>
      <w:r>
        <w:rPr>
          <w:rFonts w:ascii="Arial" w:hAnsi="Arial"/>
          <w:b/>
          <w:color w:val="0D3068"/>
          <w:sz w:val="38"/>
        </w:rPr>
        <w:t>6Metricen en doelstellingen</w:t>
      </w: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Ja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Een lijst met de door een toepasselijke UK Standards voor duurzaamheidsrapporten.</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Ontwerp van antwoord</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[Voeg een entiteitsspecifieke openbaarmaking in]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Bewijs / bron</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[Voer bewijsgegevens, systeemverslagen, berekeningen, beleidsregels, notulen of kruisverwijzingen in]</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Eigenaar / beoordelaar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Eigenaar: [ ] Recenseur: [ ] Status: [Niet gestart / Ontwerp / Gecontroleerd / Goedgekeurd]</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Ja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Een lijst van metricen die worden gebruikt om elk belangrijk risico/gelegenheid en prestatie te volgen.</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Ontwerp van antwoord</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[Voeg een entiteitsspecifieke openbaarmaking in]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Bewijs / bron</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[Voer bewijsgegevens, systeemverslagen, berekeningen, beleidsregels, notulen of kruisverwijzingen in]</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Eigenaar / beoordelaar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Eigenaar: [ ] Recenseur: [ ] Status: [Niet gestart / Ontwerp / Gecontroleerd / Goedgekeurd]</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Ja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Verklaar de relevantie voor de sector, de bron, de opname en eventuele aanpassing.</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Ontwerp van antwoord</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[Voeg een entiteitsspecifieke openbaarmaking in]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Bewijs / bron</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[Voer bewijsgegevens, systeemverslagen, berekeningen, beleidsregels, notulen of kruisverwijzingen in]</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Eigenaar / beoordelaar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Eigenaar: [ ] Recenseur: [ ] Status: [Niet gestart / Ontwerp / Gecontroleerd / Goedgekeurd]</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Ja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Definieer metric, grens, eenheid, type, validatie, berekening, input, beperkingen en aannames.</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Ontwerp van antwoord</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[Voeg een entiteitsspecifieke openbaarmaking in]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Bewijs / bron</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[Voer bewijsgegevens, systeemverslagen, berekeningen, beleidsregels, notulen of kruisverwijzingen in]</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Eigenaar / beoordelaar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Eigenaar: [ ] Recenseur: [ ] Status: [Niet gestart / Ontwerp / Gecontroleerd / Goedgekeurd]</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Ja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Staatmetric, doelstelling, periode, basisperiode, mijlpalen en goedkeuring.</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Ontwerp van antwoord</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[Voeg een entiteitsspecifieke openbaarmaking in]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Bewijs / bron</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[Voer bewijsgegevens, systeemverslagen, berekeningen, beleidsregels, notulen of kruisverwijzingen in]</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Eigenaar / beoordelaar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Eigenaar: [ ] Recenseur: [ ] Status: [Niet gestart / Ontwerp / Gecontroleerd / Goedgekeurd]</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Ja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Rapporteer prestaties, trend, gemiste mijlpalen en corrigerende maatregelen.</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Ontwerp van antwoord</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[Voeg een entiteitsspecifieke openbaarmaking in]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Bewijs / bron</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[Voer bewijsgegevens, systeemverslagen, berekeningen, beleidsregels, notulen of kruisverwijzingen in]</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Eigenaar / beoordelaar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Eigenaar: [ ] Recenseur: [ ] Status: [Niet gestart / Ontwerp / Gecontroleerd / Goedgekeurd]</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Ja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Verduidelijk de herziening, vervanging, herstelling en vergelijkbaarheidseffecten.</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Ontwerp van antwoord</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[Voeg een entiteitsspecifieke openbaarmaking in]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Bewijs / bron</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[Voer bewijsgegevens, systeemverslagen, berekeningen, beleidsregels, notulen of kruisverwijzingen in]</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Eigenaar / beoordelaar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Eigenaar: [ ] Recenseur: [ ] Status: [Niet gestart / Ontwerp / Gecontroleerd / Goedgekeurd]</w:t>
                  </w:r>
                </w:p>
              </w:tc>
            </w:tr>
          </w:tbl>
          <w:p/>
        </w:tc>
      </w:tr>
    </w:tbl>
    <w:p>
      <w:pPr>
        <w:spacing w:after="40"/>
      </w:pPr>
    </w:p>
    <w:p>
      <w:pPr>
        <w:pStyle w:val="Heading1"/>
        <w:pageBreakBefore/>
      </w:pPr>
      <w:r>
        <w:rPr>
          <w:rFonts w:ascii="Arial" w:hAnsi="Arial"/>
          <w:b/>
          <w:color w:val="0D3068"/>
          <w:sz w:val="38"/>
        </w:rPr>
        <w:t>7- Oordelen, onzekerheden en fouten</w:t>
      </w: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Ja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Verklaar de oordelen die het meeste invloed hadden op materiële informatie.</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Ontwerp van antwoord</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[Voeg een entiteitsspecifieke openbaarmaking in]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Bewijs / bron</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[Voer bewijsgegevens, systeemverslagen, berekeningen, beleidsregels, notulen of kruisverwijzingen in]</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Eigenaar / beoordelaar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Eigenaar: [ ] Recenseur: [ ] Status: [Niet gestart / Ontwerp / Gecontroleerd / Goedgekeurd]</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Ja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Verduide waarom specifieke richtlijnen en industrieën werden toegepast.</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Ontwerp van antwoord</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[Voeg een entiteitsspecifieke openbaarmaking in]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Bewijs / bron</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[Voer bewijsgegevens, systeemverslagen, berekeningen, beleidsregels, notulen of kruisverwijzingen in]</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Eigenaar / beoordelaar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Eigenaar: [ ] Recenseur: [ ] Status: [Niet gestart / Ontwerp / Gecontroleerd / Goedgekeurd]</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Ja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Beschrijf de bereikte gebieden, scenario's, beoordelingen van de mogelijkheid en onzekerheid.</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Ontwerp van antwoord</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[Voeg een entiteitsspecifieke openbaarmaking in]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Bewijs / bron</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[Voer bewijsgegevens, systeemverslagen, berekeningen, beleidsregels, notulen of kruisverwijzingen in]</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Eigenaar / beoordelaar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Eigenaar: [ ] Recenseur: [ ] Status: [Niet gestart / Ontwerp / Gecontroleerd / Goedgekeurd]</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Ja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Beschrijf extrapolatie, toewijzing, factoren, ontbrekende gegevens en gevoeligheid.</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Ontwerp van antwoord</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[Voeg een entiteitsspecifieke openbaarmaking in]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Bewijs / bron</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[Voer bewijsgegevens, systeemverslagen, berekeningen, beleidsregels, notulen of kruisverwijzingen in]</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Eigenaar / beoordelaar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Eigenaar: [ ] Recenseur: [ ] Status: [Niet gestart / Ontwerp / Gecontroleerd / Goedgekeurd]</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Ja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Beschrijf wijzigingen in schattingen of methoden en correcties van belangrijke fouten voor de voorafgaande periode.</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Ontwerp van antwoord</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[Voeg een entiteitsspecifieke openbaarmaking in]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Bewijs / bron</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[Voer bewijsgegevens, systeemverslagen, berekeningen, beleidsregels, notulen of kruisverwijzingen in]</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Eigenaar / beoordelaar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Eigenaar: [ ] Recenseur: [ ] Status: [Niet gestart / Ontwerp / Gecontroleerd / Goedgekeurd]</w:t>
                  </w:r>
                </w:p>
              </w:tc>
            </w:tr>
          </w:tbl>
          <w:p/>
        </w:tc>
      </w:tr>
    </w:tbl>
    <w:p>
      <w:pPr>
        <w:spacing w:after="40"/>
      </w:pPr>
    </w:p>
    <w:p>
      <w:pPr>
        <w:pStyle w:val="Heading1"/>
        <w:pageBreakBefore/>
      </w:pPr>
      <w:r>
        <w:rPr>
          <w:rFonts w:ascii="Arial" w:hAnsi="Arial"/>
          <w:b/>
          <w:color w:val="0D3068"/>
          <w:sz w:val="38"/>
        </w:rPr>
        <w:t>8- kruisverwijzing, verzekering en goedkeuring</w:t>
      </w: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Ja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Identificeer de exacte vereiste/onderwerp, document, pagina/anker, toegang, timing, eigenaar en versie.</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Ontwerp van antwoord</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[Voeg een entiteitsspecifieke openbaarmaking in]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Bewijs / bron</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[Voer bewijsgegevens, systeemverslagen, berekeningen, beleidsregels, notulen of kruisverwijzingen in]</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Eigenaar / beoordelaar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Eigenaar: [ ] Recenseur: [ ] Status: [Niet gestart / Ontwerp / Gecontroleerd / Goedgekeurd]</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Ja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Staat voorwerp, criteria, niveau, aanbieder, periode, grens, uitsluitingen en conclusie.</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Ontwerp van antwoord</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[Voeg een entiteitsspecifieke openbaarmaking in]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Bewijs / bron</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[Voer bewijsgegevens, systeemverslagen, berekeningen, beleidsregels, notulen of kruisverwijzingen in]</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Eigenaar / beoordelaar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Eigenaar: [ ] Recenseur: [ ] Status: [Niet gestart / Ontwerp / Gecontroleerd / Goedgekeurd]</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Ja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Rekordverzoening met het strategisch verslag, hoofdrisico's, KPIs en financiële overzichten.</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Ontwerp van antwoord</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[Voeg een entiteitsspecifieke openbaarmaking in]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Bewijs / bron</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[Voer bewijsgegevens, systeemverslagen, berekeningen, beleidsregels, notulen of kruisverwijzingen in]</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Eigenaar / beoordelaar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Eigenaar: [ ] Recenseur: [ ] Status: [Niet gestart / Ontwerp / Gecontroleerd / Goedgekeurd]</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Ja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De volledige gegevens, de gegevens, de financiën, de juridische en controlegexposities.</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Ontwerp van antwoord</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[Voeg een entiteitsspecifieke openbaarmaking in]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Bewijs / bron</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[Voer bewijsgegevens, systeemverslagen, berekeningen, beleidsregels, notulen of kruisverwijzingen in]</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Eigenaar / beoordelaar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Eigenaar: [ ] Recenseur: [ ] Status: [Niet gestart / Ontwerp / Gecontroleerd / Goedgekeurd]</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Ja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Datums, documenten, claims, afschrijvingen, voorwaarden en gedelegeerde autoriteit.</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Ontwerp van antwoord</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[Voeg een entiteitsspecifieke openbaarmaking in]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Bewijs / bron</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[Voer bewijsgegevens, systeemverslagen, berekeningen, beleidsregels, notulen of kruisverwijzingen in]</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Eigenaar / beoordelaar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Eigenaar: [ ] Recenseur: [ ] Status: [Niet gestart / Ontwerp / Gecontroleerd / Goedgekeurd]</w:t>
                  </w:r>
                </w:p>
              </w:tc>
            </w:tr>
          </w:tbl>
          <w:p/>
        </w:tc>
      </w:tr>
    </w:tbl>
    <w:p>
      <w:pPr>
        <w:spacing w:after="40"/>
      </w:pPr>
    </w:p>
    <w:p>
      <w:pPr>
        <w:pStyle w:val="Heading1"/>
        <w:pageBreakBefore/>
      </w:pPr>
      <w:r>
        <w:t>Cross-referentie en openbaarmaking index</w:t>
      </w:r>
    </w:p>
    <w:tbl>
      <w:tblPr>
        <w:tblW w:type="auto" w:w="0"/>
        <w:jc w:val="left"/>
        <w:tblLayout w:type="fixed"/>
        <w:tblLook w:firstColumn="1" w:firstRow="1" w:lastColumn="0" w:lastRow="0" w:noHBand="0" w:noVBand="1" w:val="04A0"/>
      </w:tblPr>
      <w:tblGrid>
        <w:gridCol w:w="1417"/>
        <w:gridCol w:w="1417"/>
        <w:gridCol w:w="1417"/>
        <w:gridCol w:w="1417"/>
        <w:gridCol w:w="1417"/>
        <w:gridCol w:w="1417"/>
        <w:gridCol w:w="1417"/>
      </w:tblGrid>
      <w:tr>
        <w:trPr>
          <w:tblHeader w:val="true"/>
        </w:trPr>
        <w:tc>
          <w:tcPr>
            <w:tcW w:type="dxa" w:w="1735"/>
            <w:shd w:fill="0D3068"/>
            <w:tcMar>
              <w:top w:w="95" w:type="dxa"/>
              <w:start w:w="100" w:type="dxa"/>
              <w:bottom w:w="95" w:type="dxa"/>
              <w:end w:w="100" w:type="dxa"/>
            </w:tcMar>
            <w:tcBorders>
              <w:top w:val="single" w:sz="4" w:color="0D3068"/>
              <w:left w:val="single" w:sz="4" w:color="FFFFFF"/>
              <w:bottom w:val="single" w:sz="4" w:color="0D3068"/>
              <w:right w:val="single" w:sz="4" w:color="FFFFFF"/>
            </w:tcBorders>
          </w:tcPr>
          <w:p>
            <w:pPr>
              <w:spacing w:after="0"/>
            </w:pPr>
            <w:r>
              <w:rPr>
                <w:rFonts w:ascii="Arial" w:hAnsi="Arial"/>
                <w:b/>
                <w:color w:val="FFFFFF"/>
                <w:sz w:val="16"/>
              </w:rPr>
              <w:t>Vereiste / onderwerp</w:t>
            </w:r>
          </w:p>
        </w:tc>
        <w:tc>
          <w:tcPr>
            <w:tcW w:type="dxa" w:w="1363"/>
            <w:shd w:fill="0D3068"/>
            <w:tcMar>
              <w:top w:w="95" w:type="dxa"/>
              <w:start w:w="100" w:type="dxa"/>
              <w:bottom w:w="95" w:type="dxa"/>
              <w:end w:w="100" w:type="dxa"/>
            </w:tcMar>
            <w:tcBorders>
              <w:top w:val="single" w:sz="4" w:color="0D3068"/>
              <w:left w:val="single" w:sz="4" w:color="FFFFFF"/>
              <w:bottom w:val="single" w:sz="4" w:color="0D3068"/>
              <w:right w:val="single" w:sz="4" w:color="FFFFFF"/>
            </w:tcBorders>
          </w:tcPr>
          <w:p>
            <w:pPr>
              <w:spacing w:after="0"/>
            </w:pPr>
            <w:r>
              <w:rPr>
                <w:rFonts w:ascii="Arial" w:hAnsi="Arial"/>
                <w:b/>
                <w:color w:val="FFFFFF"/>
                <w:sz w:val="16"/>
              </w:rPr>
              <w:t>Locatie</w:t>
            </w:r>
          </w:p>
        </w:tc>
        <w:tc>
          <w:tcPr>
            <w:tcW w:type="dxa" w:w="2231"/>
            <w:shd w:fill="0D3068"/>
            <w:tcMar>
              <w:top w:w="95" w:type="dxa"/>
              <w:start w:w="100" w:type="dxa"/>
              <w:bottom w:w="95" w:type="dxa"/>
              <w:end w:w="100" w:type="dxa"/>
            </w:tcMar>
            <w:tcBorders>
              <w:top w:val="single" w:sz="4" w:color="0D3068"/>
              <w:left w:val="single" w:sz="4" w:color="FFFFFF"/>
              <w:bottom w:val="single" w:sz="4" w:color="0D3068"/>
              <w:right w:val="single" w:sz="4" w:color="FFFFFF"/>
            </w:tcBorders>
          </w:tcPr>
          <w:p>
            <w:pPr>
              <w:spacing w:after="0"/>
            </w:pPr>
            <w:r>
              <w:rPr>
                <w:rFonts w:ascii="Arial" w:hAnsi="Arial"/>
                <w:b/>
                <w:color w:val="FFFFFF"/>
                <w:sz w:val="16"/>
              </w:rPr>
              <w:t>Document / URL</w:t>
            </w:r>
          </w:p>
        </w:tc>
        <w:tc>
          <w:tcPr>
            <w:tcW w:type="dxa" w:w="1115"/>
            <w:shd w:fill="0D3068"/>
            <w:tcMar>
              <w:top w:w="95" w:type="dxa"/>
              <w:start w:w="100" w:type="dxa"/>
              <w:bottom w:w="95" w:type="dxa"/>
              <w:end w:w="100" w:type="dxa"/>
            </w:tcMar>
            <w:tcBorders>
              <w:top w:val="single" w:sz="4" w:color="0D3068"/>
              <w:left w:val="single" w:sz="4" w:color="FFFFFF"/>
              <w:bottom w:val="single" w:sz="4" w:color="0D3068"/>
              <w:right w:val="single" w:sz="4" w:color="FFFFFF"/>
            </w:tcBorders>
          </w:tcPr>
          <w:p>
            <w:pPr>
              <w:spacing w:after="0"/>
            </w:pPr>
            <w:r>
              <w:rPr>
                <w:rFonts w:ascii="Arial" w:hAnsi="Arial"/>
                <w:b/>
                <w:color w:val="FFFFFF"/>
                <w:sz w:val="16"/>
              </w:rPr>
              <w:t>Eigenaar</w:t>
            </w:r>
          </w:p>
        </w:tc>
        <w:tc>
          <w:tcPr>
            <w:tcW w:type="dxa" w:w="1115"/>
            <w:shd w:fill="0D3068"/>
            <w:tcMar>
              <w:top w:w="95" w:type="dxa"/>
              <w:start w:w="100" w:type="dxa"/>
              <w:bottom w:w="95" w:type="dxa"/>
              <w:end w:w="100" w:type="dxa"/>
            </w:tcMar>
            <w:tcBorders>
              <w:top w:val="single" w:sz="4" w:color="0D3068"/>
              <w:left w:val="single" w:sz="4" w:color="FFFFFF"/>
              <w:bottom w:val="single" w:sz="4" w:color="0D3068"/>
              <w:right w:val="single" w:sz="4" w:color="FFFFFF"/>
            </w:tcBorders>
          </w:tcPr>
          <w:p>
            <w:pPr>
              <w:spacing w:after="0"/>
            </w:pPr>
            <w:r>
              <w:rPr>
                <w:rFonts w:ascii="Arial" w:hAnsi="Arial"/>
                <w:b/>
                <w:color w:val="FFFFFF"/>
                <w:sz w:val="16"/>
              </w:rPr>
              <w:t>Recenseur</w:t>
            </w:r>
          </w:p>
        </w:tc>
        <w:tc>
          <w:tcPr>
            <w:tcW w:type="dxa" w:w="1115"/>
            <w:shd w:fill="0D3068"/>
            <w:tcMar>
              <w:top w:w="95" w:type="dxa"/>
              <w:start w:w="100" w:type="dxa"/>
              <w:bottom w:w="95" w:type="dxa"/>
              <w:end w:w="100" w:type="dxa"/>
            </w:tcMar>
            <w:tcBorders>
              <w:top w:val="single" w:sz="4" w:color="0D3068"/>
              <w:left w:val="single" w:sz="4" w:color="FFFFFF"/>
              <w:bottom w:val="single" w:sz="4" w:color="0D3068"/>
              <w:right w:val="single" w:sz="4" w:color="FFFFFF"/>
            </w:tcBorders>
          </w:tcPr>
          <w:p>
            <w:pPr>
              <w:spacing w:after="0"/>
            </w:pPr>
            <w:r>
              <w:rPr>
                <w:rFonts w:ascii="Arial" w:hAnsi="Arial"/>
                <w:b/>
                <w:color w:val="FFFFFF"/>
                <w:sz w:val="16"/>
              </w:rPr>
              <w:t>Verzekering</w:t>
            </w:r>
          </w:p>
        </w:tc>
        <w:tc>
          <w:tcPr>
            <w:tcW w:type="dxa" w:w="1115"/>
            <w:shd w:fill="0D3068"/>
            <w:tcMar>
              <w:top w:w="95" w:type="dxa"/>
              <w:start w:w="100" w:type="dxa"/>
              <w:bottom w:w="95" w:type="dxa"/>
              <w:end w:w="100" w:type="dxa"/>
            </w:tcMar>
            <w:tcBorders>
              <w:top w:val="single" w:sz="4" w:color="0D3068"/>
              <w:left w:val="single" w:sz="4" w:color="FFFFFF"/>
              <w:bottom w:val="single" w:sz="4" w:color="0D3068"/>
              <w:right w:val="single" w:sz="4" w:color="FFFFFF"/>
            </w:tcBorders>
          </w:tcPr>
          <w:p>
            <w:pPr>
              <w:spacing w:after="0"/>
            </w:pPr>
            <w:r>
              <w:rPr>
                <w:rFonts w:ascii="Arial" w:hAnsi="Arial"/>
                <w:b/>
                <w:color w:val="FFFFFF"/>
                <w:sz w:val="16"/>
              </w:rPr>
              <w:t>Status van de dienst</w:t>
            </w:r>
          </w:p>
        </w:tc>
      </w:tr>
      <w:tr>
        <w:trPr>
          <w:cantSplit/>
        </w:trPr>
        <w:tc>
          <w:tcPr>
            <w:tcW w:type="dxa" w:w="173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bl>
    <w:p>
      <w:pPr>
        <w:spacing w:after="20"/>
      </w:pPr>
    </w:p>
    <w:p>
      <w:pPr>
        <w:pStyle w:val="Heading1"/>
        <w:pageBreakBefore/>
      </w:pPr>
      <w:r>
        <w:t>Eindverslag van de ondertekening</w:t>
      </w:r>
    </w:p>
    <w:tbl>
      <w:tblPr>
        <w:tblW w:type="auto" w:w="0"/>
        <w:jc w:val="left"/>
        <w:tblLayout w:type="fixed"/>
        <w:tblLook w:firstColumn="1" w:firstRow="1" w:lastColumn="0" w:lastRow="0" w:noHBand="0" w:noVBand="1" w:val="04A0"/>
      </w:tblPr>
      <w:tblGrid>
        <w:gridCol w:w="4961"/>
        <w:gridCol w:w="4961"/>
      </w:tblGrid>
      <w:tr>
        <w:trPr>
          <w:tblHeader w:val="true"/>
        </w:trPr>
        <w:tc>
          <w:tcPr>
            <w:tcW w:type="dxa" w:w="3168"/>
            <w:shd w:fill="0D3068"/>
            <w:tcMar>
              <w:top w:w="95" w:type="dxa"/>
              <w:start w:w="100" w:type="dxa"/>
              <w:bottom w:w="95" w:type="dxa"/>
              <w:end w:w="100" w:type="dxa"/>
            </w:tcMar>
            <w:tcBorders>
              <w:top w:val="single" w:sz="4" w:color="0D3068"/>
              <w:left w:val="single" w:sz="4" w:color="FFFFFF"/>
              <w:bottom w:val="single" w:sz="4" w:color="0D3068"/>
              <w:right w:val="single" w:sz="4" w:color="FFFFFF"/>
            </w:tcBorders>
          </w:tcPr>
          <w:p>
            <w:pPr>
              <w:spacing w:after="0"/>
            </w:pPr>
            <w:r>
              <w:rPr>
                <w:rFonts w:ascii="Arial" w:hAnsi="Arial"/>
                <w:b/>
                <w:color w:val="FFFFFF"/>
                <w:sz w:val="16"/>
              </w:rPr>
              <w:t>Goedkeuring veld</w:t>
            </w:r>
          </w:p>
        </w:tc>
        <w:tc>
          <w:tcPr>
            <w:tcW w:type="dxa" w:w="6623"/>
            <w:shd w:fill="0D3068"/>
            <w:tcMar>
              <w:top w:w="95" w:type="dxa"/>
              <w:start w:w="100" w:type="dxa"/>
              <w:bottom w:w="95" w:type="dxa"/>
              <w:end w:w="100" w:type="dxa"/>
            </w:tcMar>
            <w:tcBorders>
              <w:top w:val="single" w:sz="4" w:color="0D3068"/>
              <w:left w:val="single" w:sz="4" w:color="FFFFFF"/>
              <w:bottom w:val="single" w:sz="4" w:color="0D3068"/>
              <w:right w:val="single" w:sz="4" w:color="FFFFFF"/>
            </w:tcBorders>
          </w:tcPr>
          <w:p>
            <w:pPr>
              <w:spacing w:after="0"/>
            </w:pPr>
            <w:r>
              <w:rPr>
                <w:rFonts w:ascii="Arial" w:hAnsi="Arial"/>
                <w:b/>
                <w:color w:val="FFFFFF"/>
                <w:sz w:val="16"/>
              </w:rPr>
              <w:t>Rekord</w:t>
            </w:r>
          </w:p>
        </w:tc>
      </w:tr>
      <w:tr>
        <w:trPr>
          <w:cantSplit/>
        </w:trPr>
        <w:tc>
          <w:tcPr>
            <w:tcW w:type="dxa" w:w="3168"/>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Rapporteurbasis en claim</w:t>
            </w:r>
          </w:p>
        </w:tc>
        <w:tc>
          <w:tcPr>
            <w:tcW w:type="dxa" w:w="662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[Voer de goedgekeurde basis en de exacte definitieve tekst in]</w:t>
            </w:r>
          </w:p>
        </w:tc>
      </w:tr>
      <w:tr>
        <w:trPr>
          <w:cantSplit/>
        </w:trPr>
        <w:tc>
          <w:tcPr>
            <w:tcW w:type="dxa" w:w="3168"/>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Beheercomité voor openbaarmaking</w:t>
            </w:r>
          </w:p>
        </w:tc>
        <w:tc>
          <w:tcPr>
            <w:tcW w:type="dxa" w:w="662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Datum: [ ] Besluit: [ ] Voorwaarden: [ ]</w:t>
            </w:r>
          </w:p>
        </w:tc>
      </w:tr>
      <w:tr>
        <w:trPr>
          <w:cantSplit/>
        </w:trPr>
        <w:tc>
          <w:tcPr>
            <w:tcW w:type="dxa" w:w="3168"/>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CFO-tekening</w:t>
            </w:r>
          </w:p>
        </w:tc>
        <w:tc>
          <w:tcPr>
            <w:tcW w:type="dxa" w:w="662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Datum: [ ] Referentie voor vertegenwoordiging: [ ]</w:t>
            </w:r>
          </w:p>
        </w:tc>
      </w:tr>
      <w:tr>
        <w:trPr>
          <w:cantSplit/>
        </w:trPr>
        <w:tc>
          <w:tcPr>
            <w:tcW w:type="dxa" w:w="3168"/>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Ondernemingssecretaris / juridische beoordeling</w:t>
            </w:r>
          </w:p>
        </w:tc>
        <w:tc>
          <w:tcPr>
            <w:tcW w:type="dxa" w:w="662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Datum: [ ] Reviews van de vorderingen en placement: [ ]</w:t>
            </w:r>
          </w:p>
        </w:tc>
      </w:tr>
      <w:tr>
        <w:trPr>
          <w:cantSplit/>
        </w:trPr>
        <w:tc>
          <w:tcPr>
            <w:tcW w:type="dxa" w:w="3168"/>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Auditcommissie / Risico's</w:t>
            </w:r>
          </w:p>
        </w:tc>
        <w:tc>
          <w:tcPr>
            <w:tcW w:type="dxa" w:w="662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Datum: [ ] Besluit: [ ]</w:t>
            </w:r>
          </w:p>
        </w:tc>
      </w:tr>
      <w:tr>
        <w:trPr>
          <w:cantSplit/>
        </w:trPr>
        <w:tc>
          <w:tcPr>
            <w:tcW w:type="dxa" w:w="3168"/>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Goedkeuring door de raad van bestuur</w:t>
            </w:r>
          </w:p>
        </w:tc>
        <w:tc>
          <w:tcPr>
            <w:tcW w:type="dxa" w:w="662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Datum: [ ] Goedgekeurde versie: [ ] Voorwaarden / gedelegeerde autoriteit: [ ]</w:t>
            </w:r>
          </w:p>
        </w:tc>
      </w:tr>
      <w:tr>
        <w:trPr>
          <w:cantSplit/>
        </w:trPr>
        <w:tc>
          <w:tcPr>
            <w:tcW w:type="dxa" w:w="3168"/>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Verslag over de verzekering</w:t>
            </w:r>
          </w:p>
        </w:tc>
        <w:tc>
          <w:tcPr>
            <w:tcW w:type="dxa" w:w="662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Aanbieder: [ ] Onderwerp / niveau / datum: [ ]</w:t>
            </w:r>
          </w:p>
        </w:tc>
      </w:tr>
      <w:tr>
        <w:trPr>
          <w:cantSplit/>
        </w:trPr>
        <w:tc>
          <w:tcPr>
            <w:tcW w:type="dxa" w:w="3168"/>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Publicatieverslag</w:t>
            </w:r>
          </w:p>
        </w:tc>
        <w:tc>
          <w:tcPr>
            <w:tcW w:type="dxa" w:w="662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Jaarverslagdatum: [ ] Verwezen bestanden / URL's / checksums: [ ]</w:t>
            </w:r>
          </w:p>
        </w:tc>
      </w:tr>
      <w:tr>
        <w:trPr>
          <w:cantSplit/>
        </w:trPr>
        <w:tc>
          <w:tcPr>
            <w:tcW w:type="dxa" w:w="3168"/>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Volgende beoordeling triggers</w:t>
            </w:r>
          </w:p>
        </w:tc>
        <w:tc>
          <w:tcPr>
            <w:tcW w:type="dxa" w:w="662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[Voer regelgeving, standaard, gegevens en project-triggers in]</w:t>
            </w:r>
          </w:p>
        </w:tc>
      </w:tr>
    </w:tbl>
    <w:p>
      <w:pPr>
        <w:spacing w:after="20"/>
      </w:pPr>
    </w:p>
    <w:tbl>
      <w:tblPr>
        <w:tblW w:type="auto" w:w="0"/>
        <w:jc w:val="left"/>
        <w:tblLayout w:type="fixed"/>
        <w:tblLook w:firstColumn="1" w:firstRow="1" w:lastColumn="0" w:lastRow="0" w:noHBand="0" w:noVBand="1" w:val="04A0"/>
      </w:tblPr>
      <w:tblGrid>
        <w:gridCol w:w="9922"/>
      </w:tblGrid>
      <w:tr>
        <w:trPr>
          <w:cantSplit/>
        </w:trPr>
        <w:tc>
          <w:tcPr>
            <w:tcW w:type="dxa" w:w="9792"/>
            <w:shd w:fill="F5F8FB"/>
            <w:tcBorders>
              <w:top w:val="single" w:sz="3" w:color="B9CAD9"/>
              <w:left w:val="single" w:sz="18" w:color="59636E"/>
              <w:bottom w:val="single" w:sz="3" w:color="B9CAD9"/>
              <w:right w:val="single" w:sz="3" w:color="B9CAD9"/>
            </w:tcBorders>
            <w:tcMar>
              <w:top w:w="120" w:type="dxa"/>
              <w:start w:w="150" w:type="dxa"/>
              <w:bottom w:w="120" w:type="dxa"/>
              <w:end w:w="150" w:type="dxa"/>
            </w:tcMar>
          </w:tcPr>
          <w:p>
            <w:pPr>
              <w:spacing w:after="60"/>
            </w:pPr>
            <w:r>
              <w:rPr>
                <w:rFonts w:ascii="Arial" w:hAnsi="Arial"/>
                <w:b/>
                <w:color w:val="59636E"/>
                <w:sz w:val="21"/>
              </w:rPr>
              <w:t>Beperking van het eindgebruik</w:t>
            </w:r>
          </w:p>
          <w:p>
            <w:pPr>
              <w:spacing w:after="0"/>
            </w:pPr>
            <w:r>
              <w:rPr>
                <w:rFonts w:ascii="Arial" w:hAnsi="Arial"/>
                <w:color w:val="18212B"/>
                <w:sz w:val="19"/>
              </w:rPr>
              <w:t>Dit educatieve materiaal is geen juridisch advies, assurance-oordeel of vervanging voor het lezen van de actuele officiële standaarden, toepasselijke wetgeving en regels van toezichthouders. Illustratieve formuleringen en scenario’s moeten worden aangepast aan de feiten van de entiteit.</w:t>
            </w:r>
          </w:p>
        </w:tc>
      </w:tr>
    </w:tbl>
    <w:p>
      <w:pPr>
        <w:spacing w:after="20"/>
      </w:pPr>
    </w:p>
    <w:sectPr w:rsidR="00FC693F" w:rsidRPr="0006063C" w:rsidSect="00034616">
      <w:headerReference w:type="default" r:id="rId9"/>
      <w:footerReference w:type="default" r:id="rId10"/>
      <w:pgSz w:w="11906" w:h="16838"/>
      <w:pgMar w:top="964" w:right="992" w:bottom="964" w:left="992" w:header="397" w:footer="39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color w:val="59636E"/>
        <w:sz w:val="16"/>
      </w:rPr>
      <w:t xml:space="preserve">UKSRS1-TEMPLATE-EDITABLE Gecontroleerd 2 - augustus 2026  |  </w:t>
    </w:r>
    <w:r>
      <w:rPr>
        <w:rFonts w:ascii="Arial" w:hAnsi="Arial"/>
        <w:color w:val="59636E"/>
        <w:sz w:val="17"/>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6" w:color="4C86B8" w:space="4"/>
      </w:pBdr>
    </w:pPr>
    <w:r>
      <w:rPr>
        <w:rFonts w:ascii="Arial" w:hAnsi="Arial"/>
        <w:b/>
        <w:color w:val="0D3068"/>
        <w:sz w:val="16"/>
      </w:rPr>
      <w:t>LONDON REPORTING ACADEMY  ·  KENNISCENTRUM  ·  UK SRS S1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10" w:line="264" w:lineRule="auto"/>
    </w:pPr>
    <w:rPr>
      <w:rFonts w:ascii="Arial" w:hAnsi="Arial"/>
      <w:color w:val="18212B"/>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rial" w:hAnsi="Arial"/>
      <w:b/>
      <w:bCs/>
      <w:color w:val="0D3068"/>
      <w:sz w:val="38"/>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rial" w:hAnsi="Arial"/>
      <w:b/>
      <w:bCs/>
      <w:color w:val="0D3068"/>
      <w:sz w:val="31"/>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Arial" w:hAnsi="Arial"/>
      <w:b/>
      <w:bCs/>
      <w:color w:val="1E5A8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Arial" w:hAnsi="Arial"/>
      <w:b/>
      <w:color w:val="0D3068"/>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rial" w:hAnsi="Arial"/>
      <w:b w:val="0"/>
      <w:i/>
      <w:iCs/>
      <w:color w:val="59636E"/>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RACaption">
    <w:name w:val="LRA Caption"/>
    <w:pPr>
      <w:spacing w:after="140"/>
    </w:pPr>
    <w:rPr>
      <w:rFonts w:ascii="Arial" w:hAnsi="Arial"/>
      <w:i/>
      <w:color w:val="59636E"/>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UK SRS S1 Report Template - Editable Drafting Tool</dc:title>
  <dc:subject/>
  <dc:creator>London Reporting Academy</dc:creator>
  <cp:keywords/>
  <dc:description>generated by python-docx</dc:description>
  <cp:lastModifiedBy/>
  <cp:revision>1</cp:revision>
  <dcterms:created xsi:type="dcterms:W3CDTF">2013-12-23T23:15:00Z</dcterms:created>
  <dcterms:modified xsi:type="dcterms:W3CDTF">2013-12-23T23:15:00Z</dcterms:modified>
  <cp:category/>
</cp:coreProperties>
</file>