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trHeight w:val="4706" w:hRule="atLeast"/>
        </w:trPr>
        <w:tc>
          <w:tcPr>
            <w:tcW w:type="dxa" w:w="10036"/>
            <w:shd w:fill="173F65"/>
            <w:tcMar>
              <w:top w:w="420" w:type="dxa"/>
              <w:start w:w="420" w:type="dxa"/>
              <w:bottom w:w="380" w:type="dxa"/>
              <w:end w:w="420" w:type="dxa"/>
            </w:tcMar>
          </w:tcPr>
          <w:p>
            <w:pPr>
              <w:spacing w:before="0" w:after="160"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800000" cy="387624"/>
                  <wp:docPr id="1" name="Picture 1" descr="London Reporting Academy logo" title="London Reporting Academy log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RA_logo_white_pane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8762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320" w:after="160" w:line="240" w:lineRule="auto"/>
            </w:pPr>
            <w:r>
              <w:rPr>
                <w:rFonts w:ascii="Lato" w:hAnsi="Lato" w:eastAsia="Lato"/>
                <w:b/>
                <w:color w:val="FFFFFF"/>
                <w:sz w:val="50"/>
              </w:rPr>
              <w:t>UK SRS S2 Сборник ежегодного отчета</w:t>
            </w:r>
          </w:p>
          <w:p>
            <w:pPr>
              <w:spacing w:before="100" w:after="0" w:line="259" w:lineRule="auto"/>
            </w:pPr>
            <w:r>
              <w:rPr>
                <w:rFonts w:ascii="Lato" w:hAnsi="Lato" w:eastAsia="Lato"/>
                <w:color w:val="DCE9F5"/>
                <w:sz w:val="26"/>
              </w:rPr>
              <w:t>Редактируемая структура и составление инструкций по подготовке, четыре столпа, сценарии, GHG, финансовые последствия, решения, положения, перекрестные ссылки и одобрение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Идентификатор статьи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UKSRS-S2-TPL-001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Тип публикации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Шаблон практического отчета</w:t>
            </w:r>
          </w:p>
        </w:tc>
      </w:tr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Первичная аудитория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UK Ежегодный отчет, финансовые, устойчивые, рисковые и секретариатские группы компаний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Юрисдикция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Соединенное Королевство</w:t>
            </w:r>
          </w:p>
        </w:tc>
      </w:tr>
      <w:tr>
        <w:tc>
          <w:tcPr>
            <w:tcW w:type="dxa" w:w="2381"/>
            <w:shd w:fill="EAF1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Техническое ограничение</w:t>
            </w:r>
          </w:p>
        </w:tc>
        <w:tc>
          <w:tcPr>
            <w:tcW w:type="dxa" w:w="7427"/>
            <w:shd w:fill="FFFFFF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3 Август 2026</w:t>
            </w:r>
          </w:p>
        </w:tc>
      </w:tr>
      <w:tr>
        <w:tc>
          <w:tcPr>
            <w:tcW w:type="dxa" w:w="2381"/>
            <w:shd w:fill="DDEB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b/>
                <w:color w:val="173F65"/>
                <w:sz w:val="18"/>
              </w:rPr>
              <w:t>Состояние отчетности</w:t>
            </w:r>
          </w:p>
        </w:tc>
        <w:tc>
          <w:tcPr>
            <w:tcW w:type="dxa" w:w="7427"/>
            <w:shd w:fill="F3F5F7"/>
            <w:tcMar>
              <w:top w:w="90" w:type="dxa"/>
              <w:start w:w="120" w:type="dxa"/>
              <w:bottom w:w="90" w:type="dxa"/>
              <w:end w:w="12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</w:pPr>
            <w:r>
              <w:rPr>
                <w:rFonts w:ascii="Lato" w:hAnsi="Lato" w:eastAsia="Lato"/>
                <w:color w:val="26384A"/>
                <w:sz w:val="18"/>
              </w:rPr>
              <w:t>Илюстративный шаблон реализации. Приспособлен к окончательному UK СРС, применимые законы/положения и конкретные факты для организации.</w:t>
            </w:r>
          </w:p>
        </w:tc>
      </w:tr>
    </w:tbl>
    <w:p>
      <w:pPr>
        <w:spacing w:before="240" w:after="0" w:line="252" w:lineRule="auto"/>
        <w:jc w:val="center"/>
      </w:pPr>
      <w:r>
        <w:rPr>
          <w:rFonts w:ascii="Lato" w:hAnsi="Lato" w:eastAsia="Lato"/>
          <w:i/>
          <w:color w:val="667788"/>
          <w:sz w:val="16"/>
        </w:rPr>
        <w:t>Учебное руководство для практикующих специалистов. Не является юридической консультацией или консультацией по заверению. Перед принятием мер проверьте актуальный текст UK SRS, применимые правила отчётности и факты, относящиеся к конкретной организации.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c>
          <w:tcPr>
            <w:tcW w:type="dxa" w:w="10036"/>
            <w:shd w:fill="EAF1F7"/>
            <w:tcMar>
              <w:top w:w="180" w:type="dxa"/>
              <w:start w:w="200" w:type="dxa"/>
              <w:bottom w:w="160" w:type="dxa"/>
              <w:end w:w="200" w:type="dxa"/>
            </w:tcMar>
            <w:tcBorders>
              <w:top w:val="single" w:sz="4" w:color="C8D2DC"/>
              <w:left w:val="single" w:sz="24" w:color="2A6F97"/>
              <w:bottom w:val="single" w:sz="4" w:color="C8D2DC"/>
              <w:right w:val="single" w:sz="4" w:color="C8D2DC"/>
            </w:tcBorders>
          </w:tcPr>
          <w:p>
            <w:pPr>
              <w:spacing w:before="0" w:after="100" w:line="240" w:lineRule="auto"/>
            </w:pPr>
            <w:r>
              <w:rPr>
                <w:rFonts w:ascii="Lato" w:hAnsi="Lato" w:eastAsia="Lato"/>
                <w:b/>
                <w:color w:val="173F65"/>
                <w:sz w:val="20"/>
              </w:rPr>
              <w:t>Как использовать этот храм</w:t>
            </w:r>
          </w:p>
          <w:p>
            <w:pPr>
              <w:spacing w:before="0" w:after="60" w:line="269" w:lineRule="auto"/>
            </w:pPr>
            <w:r>
              <w:rPr>
                <w:rFonts w:ascii="Lato" w:hAnsi="Lato" w:eastAsia="Lato"/>
                <w:b/>
                <w:color w:val="26384A"/>
                <w:sz w:val="22"/>
              </w:rPr>
              <w:t>Заменить каждый подведенный в скобках запрос конкретной информацией, подтвержденной доказательствами. Удалите неприменяемые рекомендации по составлению только после того, как решение о применимости или существенности будет задокументировано в матрице раскрытия информации. Не обращайтесь с шаблоном как с официальной формой или заявлением о соответствии модели.</w:t>
            </w:r>
          </w:p>
          <w:p>
            <w:pPr>
              <w:spacing w:before="40" w:after="0" w:line="254" w:lineRule="auto"/>
            </w:pPr>
            <w:r>
              <w:rPr>
                <w:rFonts w:ascii="Lato" w:hAnsi="Lato" w:eastAsia="Lato"/>
                <w:i/>
                <w:color w:val="667788"/>
                <w:sz w:val="17"/>
              </w:rPr>
              <w:t>Использовать вместе с UK SRS S2 Матрица раскрытия климата и текущий официальный источник.</w:t>
            </w:r>
          </w:p>
        </w:tc>
      </w:tr>
    </w:tbl>
    <w:p>
      <w:pPr>
        <w:spacing w:after="0"/>
      </w:pPr>
    </w:p>
    <w:p>
      <w:pPr>
        <w:pStyle w:val="Heading1"/>
      </w:pPr>
      <w:r>
        <w:t>Контроль документов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5018"/>
        <w:gridCol w:w="5018"/>
      </w:tblGrid>
      <w:tr>
        <w:trPr>
          <w:tblHeader w:val="true"/>
        </w:trPr>
        <w:tc>
          <w:tcPr>
            <w:tcW w:type="dxa" w:w="2948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Поле</w:t>
            </w:r>
          </w:p>
        </w:tc>
        <w:tc>
          <w:tcPr>
            <w:tcW w:type="dxa" w:w="6860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Контролируемое вводы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Субъект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[ВСЕДРИТЕ ЛЮГАЛНОЕ / СОГЛАСОВАНОЕ ВТОРЕНИЕ]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Отчетный период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 PERIOD]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Место проведения годового отчета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[ВКРАТЬСКАЯ СТРАТЕГИЧЕСКАЯ СЛОВЕНИЕ / ИНЧЕ ГЕНЕРНАЛЬНЫЙ ПОЛЦИОН СЛОВАНИЕ ФИНАНСКОЕ]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UK Статус отчетности СРС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[ВОЛУЧЕННЫЙ / НАЦЕРНЫЙ ОБЛИЖНЫЙ ПРЕДСЕМЬ СОТВЕРЖДЕНИЕ]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UK Справка по СРС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[СПРАВЛЕНИЕ Подлежит окончательному одобрению]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Подготовка: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[NAME / ROLE]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Технический рецензент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[NAME / ROLE]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Утверждение финансового директора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Аудиторский комитет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Утверждение совета директоров</w:t>
            </w:r>
          </w:p>
        </w:tc>
        <w:tc>
          <w:tcPr>
            <w:tcW w:type="dxa" w:w="686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[DATE / STATUS]</w:t>
            </w:r>
          </w:p>
        </w:tc>
      </w:tr>
      <w:tr>
        <w:tc>
          <w:tcPr>
            <w:tcW w:type="dxa" w:w="2948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Версия и дата выпуска</w:t>
            </w:r>
          </w:p>
        </w:tc>
        <w:tc>
          <w:tcPr>
            <w:tcW w:type="dxa" w:w="686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[VERSION / DATE / ARCHIVE LOCATION]</w:t>
            </w:r>
          </w:p>
        </w:tc>
      </w:tr>
    </w:tbl>
    <w:p>
      <w:pPr>
        <w:spacing w:after="0"/>
      </w:pPr>
    </w:p>
    <w:p>
      <w:pPr>
        <w:pStyle w:val="Heading1"/>
      </w:pPr>
      <w:r>
        <w:t>Предлагаемый контент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3345"/>
        <w:gridCol w:w="3345"/>
        <w:gridCol w:w="3345"/>
      </w:tblGrid>
      <w:tr>
        <w:trPr>
          <w:tblHeader w:val="true"/>
        </w:trPr>
        <w:tc>
          <w:tcPr>
            <w:tcW w:type="dxa" w:w="567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#</w:t>
            </w:r>
          </w:p>
        </w:tc>
        <w:tc>
          <w:tcPr>
            <w:tcW w:type="dxa" w:w="6520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272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Рабочее место / страницы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Основания подготовки и заявления о соответствии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2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Управление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3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Риски и возможности, связанные с климатом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4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Стратегия, переходные мероприятия и ресурсы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5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Анализ сценариев и устойчивость к климату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6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Текущие и ожидаемые финансовые последствия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7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Управление рисками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8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Климатометры и цели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9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GHG выбросы и финансируемые выбросы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10</w:t>
            </w:r>
          </w:p>
        </w:tc>
        <w:tc>
          <w:tcPr>
            <w:tcW w:type="dxa" w:w="6520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Суждения, оценки, положения и изменения</w:t>
            </w:r>
          </w:p>
        </w:tc>
        <w:tc>
          <w:tcPr>
            <w:tcW w:type="dxa" w:w="272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567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11</w:t>
            </w:r>
          </w:p>
        </w:tc>
        <w:tc>
          <w:tcPr>
            <w:tcW w:type="dxa" w:w="6520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Индекс раскрытия информации и перекрестные ссылки</w:t>
            </w:r>
          </w:p>
        </w:tc>
        <w:tc>
          <w:tcPr>
            <w:tcW w:type="dxa" w:w="272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</w:tbl>
    <w:p>
      <w:pPr>
        <w:spacing w:after="0"/>
      </w:pPr>
    </w:p>
    <w:p>
      <w:pPr>
        <w:pStyle w:val="Heading1"/>
      </w:pPr>
      <w:r>
        <w:t>1. Основы подготовки и заявления о соответствии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Объясните, какой отчет был подготовлен, для какого предприятия и периода, как была выбрана существенная информация, где эта информация находится и какие данные. UK положения или маршруты отчетности влияют на требование.</w:t>
            </w:r>
          </w:p>
        </w:tc>
      </w:tr>
    </w:tbl>
    <w:p>
      <w:pPr>
        <w:spacing w:after="0"/>
      </w:pPr>
    </w:p>
    <w:p>
      <w:pPr>
        <w:pStyle w:val="Heading2"/>
      </w:pPr>
      <w:r>
        <w:t>1.1 Основание отчетности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отчетная организация; та же организация, что и финансовая отчетность; отчетный период; валюта и единицы, если это уместно; консолидирована ли информация; материальные приобретения/отчуждения; различие границ по климату.]</w:t>
      </w:r>
    </w:p>
    <w:p>
      <w:pPr>
        <w:pStyle w:val="Heading2"/>
      </w:pPr>
      <w:r>
        <w:t>1.2 Материальность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[ВВЕРНАЯ: как были выявлены существенные риски и возможности, связанные с климатом для первичных пользователей; природа и величина; источники; управление; изменения по сравнению с предварительным оценкой.]</w:t>
      </w:r>
    </w:p>
    <w:p>
      <w:pPr>
        <w:pStyle w:val="Heading2"/>
      </w:pPr>
      <w:r>
        <w:t>1.3 Используемые источники и отрасли промышленности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[ВВКРЕД: UK источники СРС; отрасли и фактически примененные рекомендации; показатели, разработанные предприятием; источник версии.]</w:t>
      </w:r>
    </w:p>
    <w:p>
      <w:pPr>
        <w:pStyle w:val="Heading2"/>
      </w:pPr>
      <w:r>
        <w:t>1.4 Местоположение и перекрестные ссылки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местоположение годового отчета; политика включения по ссылке; точные ссылочные документы/страницы; одновременная доступность и архивные проверки.]</w:t>
      </w:r>
    </w:p>
    <w:p>
      <w:pPr>
        <w:pStyle w:val="Heading2"/>
      </w:pPr>
      <w:r>
        <w:t>1.5 Положения и заявление о соответствии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[ВВВЕТ: точный UK SRS E3/C3/C4 или другое положение, используемое; условие; информация, затрагиваемая; сравнительный эффект; ограничение маршрута обязательства; действие на UK SRS S1/S2 и любые IFRS заявление.]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Отчетная организация, согласованная с финансовой отчетностью.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Запись материальности утверждена.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Регистр источника и промышленности завершен.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Перессылки, проверенные при выпуске.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Согласовано меморандум о предоставлении и требовании.</w:t>
      </w:r>
    </w:p>
    <w:p>
      <w:pPr>
        <w:pStyle w:val="Heading1"/>
      </w:pPr>
      <w:r>
        <w:t>2Управление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Опишите фактические процессы надзора и управления, а не только структуру управления.</w:t>
            </w:r>
          </w:p>
        </w:tc>
      </w:tr>
    </w:tbl>
    <w:p>
      <w:pPr>
        <w:spacing w:after="0"/>
      </w:pPr>
    </w:p>
    <w:p>
      <w:pPr>
        <w:pStyle w:val="Heading2"/>
      </w:pPr>
      <w:r>
        <w:t>2.1 Контроль органов управления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[ВСЕЧЕНИЕ: мандат совета/комитета; ответственность; информация и частота; навыки; решения по стратегии и сделкам; целевое наблюдение; решения в течение периода; изменения.]</w:t>
      </w:r>
    </w:p>
    <w:p>
      <w:pPr>
        <w:pStyle w:val="Heading2"/>
      </w:pPr>
      <w:r>
        <w:t>2.2 Руководство и контроль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[ВКРАТЬ: название руководящих функций; линии отчетности; ответственность за данные и контроль; эскалация; внутренние комитеты; представительства руководства.]</w:t>
      </w:r>
    </w:p>
    <w:p>
      <w:pPr>
        <w:pStyle w:val="Heading2"/>
      </w:pPr>
      <w:r>
        <w:t>2.3 Оплата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входит ли и как в оплату климатические соображения; население; метрика; весовая оценка; результат; одобрение управления.]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Мандаты и сроки комитета действуют.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Документы и протоколы сопровождают заявления.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Описание роли управления соответствует фактической деятельности.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Соответствующие и утвержденные данные о вознаграждении.</w:t>
      </w:r>
    </w:p>
    <w:p>
      <w:pPr>
        <w:pStyle w:val="Heading1"/>
      </w:pPr>
      <w:r>
        <w:t>3. Риски и возможности, связанные с климатом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Определять существенные физические и переходные риски и климатические возможности, их временные горизонты, концентрации и пути передачи.</w:t>
            </w:r>
          </w:p>
        </w:tc>
      </w:tr>
    </w:tbl>
    <w:p>
      <w:pPr>
        <w:spacing w:after="0"/>
      </w:pPr>
    </w:p>
    <w:p>
      <w:pPr>
        <w:pStyle w:val="Heading2"/>
      </w:pPr>
      <w:r>
        <w:t>3.1 Временные горизонты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датированные краткосрочные, среднесрочные и долгосрочные горизонты и отношение к циклам планирования, жизненным периодам активов и стратегическим решениям.]</w:t>
      </w:r>
    </w:p>
    <w:p>
      <w:pPr>
        <w:pStyle w:val="Heading2"/>
      </w:pPr>
      <w:r>
        <w:t>3.2 Таблица материальных вопросов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[Таблица вставки: идентификация; риск/возможность; физический/переходный/возможностный период; временный горизонт; география/деятельность/целевая цепочка; вероятность/магитуда; финансовый путь; владелец; индикатор мониторинга.]</w:t>
      </w:r>
    </w:p>
    <w:p>
      <w:pPr>
        <w:pStyle w:val="Heading2"/>
      </w:pPr>
      <w:r>
        <w:t>3.3 Изменения по сравнению с предыдущим периодом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[ВВКЛАСОВАНИЕ: новые, измененные, переориентированные или устраненные вопросы и причины.]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Регистр рисков и возможностей завершен.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Разум материальности сохранился.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Испытаны концентрации и связи в цепочке ценности.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Финансовые пути, намеченные.</w:t>
      </w:r>
    </w:p>
    <w:p>
      <w:pPr>
        <w:pStyle w:val="Heading1"/>
      </w:pPr>
      <w:r>
        <w:t>4- Стратегия, переходные мероприятия и ресурсы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Объясните, как существенные проблемы климата влияют на бизнес-модель, цепочку стоимости, принятие решений и распределение ресурсов.</w:t>
            </w:r>
          </w:p>
        </w:tc>
      </w:tr>
    </w:tbl>
    <w:p>
      <w:pPr>
        <w:spacing w:after="0"/>
      </w:pPr>
    </w:p>
    <w:p>
      <w:pPr>
        <w:pStyle w:val="Heading2"/>
      </w:pPr>
      <w:r>
        <w:t>4.1 Бизнес-модель и влияние цепочки создания стоимости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[ВКРЕД: затрагиваемые продукты, услуги, активы, рынки, поставщики, клиенты, финансирование и зависимости.]</w:t>
      </w:r>
    </w:p>
    <w:p>
      <w:pPr>
        <w:pStyle w:val="Heading2"/>
      </w:pPr>
      <w:r>
        <w:t>4.2 Стратегический ответ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[ВКРЕД: действия, компромиссы, прямое/непосредственное смягчение, адаптация, возможности, изменения стратегии и прогресс.]</w:t>
      </w:r>
    </w:p>
    <w:p>
      <w:pPr>
        <w:pStyle w:val="Heading2"/>
      </w:pPr>
      <w:r>
        <w:t>4.3 План перехода где существует один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[ВВСЛИЧАНИЕ: статус плана, цели, цели, действия, ресурсы, предположения, зависимости, управление и прогресс. Определите ясно, если формального плана нет.]</w:t>
      </w:r>
    </w:p>
    <w:p>
      <w:pPr>
        <w:pStyle w:val="Heading2"/>
      </w:pPr>
      <w:r>
        <w:t>4.4 Ресурсы и использование капитала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[ВКЛЮЧЕНИЕ: расход, обязательство, утверждение, планирование и стремление к капекс/опэкс; источник финансирования; срок; условия; зависимости.]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Акции и ресурсы, присоединенные к финансированию планов.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Требования к переходному плану соответствуют утвержденному плану.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Зависимости и условность видны.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Прогресс включает в себя задержки и изменения.</w:t>
      </w:r>
    </w:p>
    <w:p>
      <w:pPr>
        <w:pStyle w:val="Heading1"/>
      </w:pPr>
      <w:r>
        <w:t>5Анализ сценариев и устойчивость к климату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Объясните сбалансированную оценку уязвимости и способности к адаптации.</w:t>
            </w:r>
          </w:p>
        </w:tc>
      </w:tr>
    </w:tbl>
    <w:p>
      <w:pPr>
        <w:spacing w:after="0"/>
      </w:pPr>
    </w:p>
    <w:p>
      <w:pPr>
        <w:pStyle w:val="Heading2"/>
      </w:pPr>
      <w:r>
        <w:t>5.1 Метод и сферы применения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[ВСЕЧЕНИЕ: цель; существенные риски/возможности; источники/версии сценариев; физические и переходные пути; географии/активы/портфели; временный горизонт; качественный/количественный метод.]</w:t>
      </w:r>
    </w:p>
    <w:p>
      <w:pPr>
        <w:pStyle w:val="Heading2"/>
      </w:pPr>
      <w:r>
        <w:t>5.2 Предположения и ограничения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температура, политика, технология, спрос, цена, риск, финансовые предположения; исключения; ограничения данных; неопределенность модели.]</w:t>
      </w:r>
    </w:p>
    <w:p>
      <w:pPr>
        <w:pStyle w:val="Heading2"/>
      </w:pPr>
      <w:r>
        <w:t>5.3 Результаты и использование решения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уязвимости, чувствительность, возможности, пороги, стратегии/капекса/риски и изменения.]</w:t>
      </w:r>
    </w:p>
    <w:p>
      <w:pPr>
        <w:pStyle w:val="Heading2"/>
      </w:pPr>
      <w:r>
        <w:t>5.4 Способность адаптироваться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[ВНИМАНИЕ: стратегические опционы; гибкость активов; финансовая способность; финансирование; сроки проведения; зависимости; триггеры принятия решений; остаточная риска; неопределенность.]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Источник сценария и версия контролируются.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Предположения, согласованные с планированием финансирования.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Зарегистрировано вызов управления.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Формулирование устойчивости избегает необоснованной уверенности.</w:t>
      </w:r>
    </w:p>
    <w:p>
      <w:pPr>
        <w:pStyle w:val="Heading1"/>
      </w:pPr>
      <w:r>
        <w:t>6. Текущие и ожидаемые финансовые последствия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Свяжите каждый существенный вопрос климата с текущими и ожидаемыми последствиями для финансового положения, показателей и денежных потоков.</w:t>
            </w:r>
          </w:p>
        </w:tc>
      </w:tr>
    </w:tbl>
    <w:p>
      <w:pPr>
        <w:spacing w:after="0"/>
      </w:pPr>
    </w:p>
    <w:p>
      <w:pPr>
        <w:pStyle w:val="Heading2"/>
      </w:pPr>
      <w:r>
        <w:t>6.1 Финансовый мост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[Таблица вкладов: климатические вопросы; текущие/ожидаемые; доходы; затраты; активы; обязательства; денежные потоки; финансирование; капитальный баланс; временный горизонт; сумма/пространство/качественность; предположения; затронутые пункты финансовой отчетности.]</w:t>
      </w:r>
    </w:p>
    <w:p>
      <w:pPr>
        <w:pStyle w:val="Heading2"/>
      </w:pPr>
      <w:r>
        <w:t>6.2 Количественное лечение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единые суммы, диапазоны или проценты; определения знаменателей; объединенная информация; двойный контроль счета.]</w:t>
      </w:r>
    </w:p>
    <w:p>
      <w:pPr>
        <w:pStyle w:val="Heading2"/>
      </w:pPr>
      <w:r>
        <w:t>6.3 Качественное лечение или облегчение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почему отдельная количественная оценка не полезна при указанных условиях; затронутые пункты строки; заменить качественную и комбинированную информацию.]</w:t>
      </w:r>
    </w:p>
    <w:p>
      <w:pPr>
        <w:pStyle w:val="Heading2"/>
      </w:pPr>
      <w:r>
        <w:t>6.4 Соответствие и неопределенность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[ВНИМАНИЕ: согласование с финансовой отчетностью, бюджетами, прогнозами и сценариями; различия в основе измерения; чувствительность; неопределенность и ограничения.]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Скончалось задание финансового директора.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Карта линейных пунктов сохранена.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Количества/пробелы воспроизводимые.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Любое качественное лечение, одобренное в соответствии с конкретными критериями.</w:t>
      </w:r>
    </w:p>
    <w:p>
      <w:pPr>
        <w:pStyle w:val="Heading1"/>
      </w:pPr>
      <w:r>
        <w:t>7Управление рисками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Опишите климатические процессы и доказательства интеграции в общее управление рисками.</w:t>
            </w:r>
          </w:p>
        </w:tc>
      </w:tr>
    </w:tbl>
    <w:p>
      <w:pPr>
        <w:spacing w:after="0"/>
      </w:pPr>
    </w:p>
    <w:p>
      <w:pPr>
        <w:pStyle w:val="Heading2"/>
      </w:pPr>
      <w:r>
        <w:t>7.1 Идентификация и оценка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процесс, входные данные, источники данных, использование сценариев, вероятность/великость, оценка уязвимости и возможностей.]</w:t>
      </w:r>
    </w:p>
    <w:p>
      <w:pPr>
        <w:pStyle w:val="Heading2"/>
      </w:pPr>
      <w:r>
        <w:t>7.2 Приоритетное обеспечение и мониторинг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пороги, риск, сравнение с другими рисками, владельцы, показатели, триггеры и эскалация.]</w:t>
      </w:r>
    </w:p>
    <w:p>
      <w:pPr>
        <w:pStyle w:val="Heading2"/>
      </w:pPr>
      <w:r>
        <w:t>7.3 Интеграция и изменения в МРТ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общая таксономия/система; поток комитетов; решения; изменения с предыдущего периода; различия между процессами риска и возможностей.]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Система ERM записывает информацию.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Приоритетность относительно других рисков очевидна.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Процесс возможностей контролируется.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Изменения задокументированы.</w:t>
      </w:r>
    </w:p>
    <w:p>
      <w:pPr>
        <w:pStyle w:val="Heading1"/>
      </w:pPr>
      <w:r>
        <w:t>8.Климатические показатели и цели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Представление межотраслевых, отраслевых и специфических для предприятия показателей с методами, сравнительными показателями и целевой эффективностью.</w:t>
            </w:r>
          </w:p>
        </w:tc>
      </w:tr>
    </w:tbl>
    <w:p>
      <w:pPr>
        <w:spacing w:after="0"/>
      </w:pPr>
    </w:p>
    <w:p>
      <w:pPr>
        <w:pStyle w:val="Heading2"/>
      </w:pPr>
      <w:r>
        <w:t>8.1 Таблица показателей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[ВВКРЕД: GHG; переходный риск; физический риск; возможности; использование капитала; внутренняя цена на углерод; вознаграждение; отраслевые показатели; конкретные для предприятия показатели.]</w:t>
      </w:r>
    </w:p>
    <w:p>
      <w:pPr>
        <w:pStyle w:val="Heading2"/>
      </w:pPr>
      <w:r>
        <w:t>8.2 Методы и оценки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определение, единица, формула, граница, период, источник, предположения, оценки, ограничения, изменения и сравнительное обращение.]</w:t>
      </w:r>
    </w:p>
    <w:p>
      <w:pPr>
        <w:pStyle w:val="Heading2"/>
      </w:pPr>
      <w:r>
        <w:t>8.3 Информация о отрасли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[ВВЕРНАЯ: отрасли, которые были определены; рассматриваемые и используемые источники; выбранные/приспособленные/разработанные предприятием показатели; обоснование отказа от использования.]</w:t>
      </w:r>
    </w:p>
    <w:p>
      <w:pPr>
        <w:pStyle w:val="Heading2"/>
      </w:pPr>
      <w:r>
        <w:t>8.4 Цели и результаты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[ВСЕЧЕНИЕ: правовой/добровольный статус; объективный; метрический; охватный; базовый период; целевой период; этапы; абсолютная/интенсивная; валовая/чистый; проверка; пересмотры; фактическая производительность; пропущенные этапы и ответ.]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Справочник данных утвержден.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Заявление о источнике/отрасли завершено.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Целевые границы согласованы.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Производительность и пересмотры, проверенные независимо.</w:t>
      </w:r>
    </w:p>
    <w:p>
      <w:pPr>
        <w:pStyle w:val="Heading1"/>
      </w:pPr>
      <w:r>
        <w:t>9. GHG выбросы и финансируемые выбросы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Предоставлять прозрачный валовой инвентарь и применимую информацию о финансируемых выбросах без зачистки углеродных кредитов.</w:t>
            </w:r>
          </w:p>
        </w:tc>
      </w:tr>
    </w:tbl>
    <w:p>
      <w:pPr>
        <w:spacing w:after="0"/>
      </w:pPr>
    </w:p>
    <w:p>
      <w:pPr>
        <w:pStyle w:val="Heading2"/>
      </w:pPr>
      <w:r>
        <w:t>9.1 GHG таблица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[ВВЕРНАЯ: абсолютный валовой объем 1, Сфера действия 2 на основе местоположения и сферы действия 3; тонны CO2e; консолидированная группа/другая дезагрэгация объекта инвестиций; сравнительные показатели.]</w:t>
      </w:r>
    </w:p>
    <w:p>
      <w:pPr>
        <w:pStyle w:val="Heading2"/>
      </w:pPr>
      <w:r>
        <w:t>9.2 Организационная граница и метод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[INSERT: метод консолидации; обращение с дочерними компаниями, ассоциированными лицами, объединенными предприятиями, арендными договорами, приобретениями/отчуждениями; юрисдикционный метод; GHG Использование протокола.]</w:t>
      </w:r>
    </w:p>
    <w:p>
      <w:pPr>
        <w:pStyle w:val="Heading2"/>
      </w:pPr>
      <w:r>
        <w:t>9.3 Сфера действия 2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[ВСЕЧЕНИЕ: сумма, основанная на местоположении; договорные документы; договоры/сертификаты о возобновляемых источниках энергии и доказательства.]</w:t>
      </w:r>
    </w:p>
    <w:p>
      <w:pPr>
        <w:pStyle w:val="Heading2"/>
      </w:pPr>
      <w:r>
        <w:t>9.4 Сфера действия 3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[ВВВЕТ: все 15 рассматриваемые категории; соответствующие категории; метод; входные данные; первичные/второобразные данные, оценки; ограничения; план переоценки и улучшения.]</w:t>
      </w:r>
    </w:p>
    <w:p>
      <w:pPr>
        <w:pStyle w:val="Heading2"/>
      </w:pPr>
      <w:r>
        <w:t>9.5 Финансируемые выбросы , если применимо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[ВНИМАНИЕ: классы активов, размер, знаменатель, охват, исключения, классификация отрасли, методология, предположения и объяснение B59A, если используется.]</w:t>
      </w:r>
    </w:p>
    <w:p>
      <w:pPr>
        <w:pStyle w:val="Heading2"/>
      </w:pPr>
      <w:r>
        <w:t>9.6 Углеродные кредиты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[ВКРЕД: планируемая зависимость от чистых целей; схема, тип, удаление/снижение, атрибуты качества, проверка и статус пенсионного возраста.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GHG Ссорились границы.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Факторы и версии GWP контролируются.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Сфера действия 3 Оконченный обзор полноты.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Время финансирования выбросов и утвержденный B59A.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Невыполненный валовой запас.</w:t>
      </w:r>
    </w:p>
    <w:p>
      <w:pPr>
        <w:pStyle w:val="Heading1"/>
      </w:pPr>
      <w:r>
        <w:t>10- Суждения, оценки, положения и изменения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Создать видные технические решения и неопределенность.</w:t>
            </w:r>
          </w:p>
        </w:tc>
      </w:tr>
    </w:tbl>
    <w:p>
      <w:pPr>
        <w:spacing w:after="0"/>
      </w:pPr>
    </w:p>
    <w:p>
      <w:pPr>
        <w:pStyle w:val="Heading2"/>
      </w:pPr>
      <w:r>
        <w:t>10.1 Значительные решения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существенность, границы, метод сценария, источники отрасли, обработка финансовых последствий, решения о целевом и предоставлении.]</w:t>
      </w:r>
    </w:p>
    <w:p>
      <w:pPr>
        <w:pStyle w:val="Heading2"/>
      </w:pPr>
      <w:r>
        <w:t>10.2 Неопределенность измерений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оценки материала, диапазоны, ограничения модели, чувствительность, качество источника и ожидаемое улучшение.]</w:t>
      </w:r>
    </w:p>
    <w:p>
      <w:pPr>
        <w:pStyle w:val="Heading2"/>
      </w:pPr>
      <w:r>
        <w:t>10.3 Изменения и ошибки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[ВВЕРНАЯ: методология, оценка, граница, фактор, цель, сравнительная пересмотр или ошибка; причина; эффект и одобрение.]</w:t>
      </w:r>
    </w:p>
    <w:p>
      <w:pPr>
        <w:pStyle w:val="Heading2"/>
      </w:pPr>
      <w:r>
        <w:t>10.4 UK положения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[Таблица вставки: положение; условие; срок; информация, затрагиваемая; раскрытие информации о замене; сравнительный эффект; эффект претензии; одобрение.]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Реестры оценки и оценки согласованы.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Правильно классифицированные изменения.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Использование положения помимо заявления о соответствии.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Установлены исправления ошибок.</w:t>
      </w:r>
    </w:p>
    <w:p>
      <w:pPr>
        <w:pStyle w:val="Heading1"/>
      </w:pPr>
      <w:r>
        <w:t>11. Индекс раскрытия информации и перекрестные ссылки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EAF1F7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173F65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173F65"/>
                <w:sz w:val="17"/>
              </w:rPr>
              <w:t>PURPOSE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 w:val="0"/>
                <w:color w:val="173F65"/>
                <w:sz w:val="18"/>
              </w:rPr>
              <w:t>Доставьте контролируемую карту от каждого материального требования до его местоположения и технического документа.</w:t>
            </w:r>
          </w:p>
        </w:tc>
      </w:tr>
    </w:tbl>
    <w:p>
      <w:pPr>
        <w:spacing w:after="0"/>
      </w:pPr>
    </w:p>
    <w:p>
      <w:pPr>
        <w:pStyle w:val="Heading2"/>
      </w:pPr>
      <w:r>
        <w:t>11.1 Индекс раскрытия информации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[ВКРЕДНАЯ ТABЛЬКА: идентификатор требования; UK пункт; статус; страница/местоположение отчета; перекрестная ссылка; предоставление; идентификатор доказательств; рецензент.]</w:t>
      </w:r>
    </w:p>
    <w:p>
      <w:pPr>
        <w:pStyle w:val="Heading2"/>
      </w:pPr>
      <w:r>
        <w:t>11.2 Проверка перекрестного ссылки на высвобождение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[ВВЕРТАНИЕ: точный документ/страница/URL; время выпуска; условия доступа; версия; местонахождение архива; ответственное лицо.]</w:t>
      </w:r>
    </w:p>
    <w:p>
      <w:pPr>
        <w:pStyle w:val="Heading2"/>
      </w:pPr>
      <w:r>
        <w:t>11.3 Связанные UK заявления</w:t>
      </w:r>
    </w:p>
    <w:p>
      <w:pPr>
        <w:spacing w:before="0" w:after="80" w:line="269" w:lineRule="auto"/>
      </w:pPr>
      <w:r>
        <w:rPr>
          <w:rFonts w:ascii="Lato" w:hAnsi="Lato" w:eastAsia="Lato"/>
          <w:i w:val="0"/>
          <w:color w:val="26384A"/>
          <w:sz w:val="19"/>
        </w:rPr>
        <w:t>[ВКРЕД: NFSIS, SECR и текущие раскрытия FCA; оговорка о перекрытии и примирении.]</w:t>
      </w:r>
    </w:p>
    <w:p>
      <w:pPr>
        <w:pStyle w:val="Heading2"/>
      </w:pPr>
      <w:r>
        <w:t>Доказательства и контрольные запросы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Никаких сломанных или общих ссылок.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Ссылка на информацию, выпущенную одновременно.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Динамические источники заперты или архивированы.</w:t>
      </w:r>
    </w:p>
    <w:p>
      <w:pPr>
        <w:pStyle w:val="ListBullet"/>
        <w:spacing w:before="0" w:after="60" w:line="259" w:lineRule="auto"/>
      </w:pPr>
      <w:r>
        <w:rPr>
          <w:rFonts w:ascii="Lato" w:hAnsi="Lato" w:eastAsia="Lato"/>
          <w:color w:val="26384A"/>
          <w:sz w:val="19"/>
        </w:rPr>
        <w:t>☐ Показания по конкретным рамкам остаются разными.</w:t>
      </w:r>
    </w:p>
    <w:p>
      <w:pPr>
        <w:pStyle w:val="Heading1"/>
      </w:pPr>
      <w:r>
        <w:t>Окончательный отчет о одобрении руководства и совета директоров</w:t>
      </w: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2509"/>
        <w:gridCol w:w="2509"/>
        <w:gridCol w:w="2509"/>
        <w:gridCol w:w="2509"/>
      </w:tblGrid>
      <w:tr>
        <w:trPr>
          <w:tblHeader w:val="true"/>
        </w:trPr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Ворота</w:t>
            </w:r>
          </w:p>
        </w:tc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Имя / тело</w:t>
            </w:r>
          </w:p>
        </w:tc>
        <w:tc>
          <w:tcPr>
            <w:tcW w:type="dxa" w:w="2381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Решение / дата</w:t>
            </w:r>
          </w:p>
        </w:tc>
        <w:tc>
          <w:tcPr>
            <w:tcW w:type="dxa" w:w="2665"/>
            <w:shd w:fill="173F65"/>
            <w:tcMar>
              <w:top w:w="90" w:type="dxa"/>
              <w:start w:w="80" w:type="dxa"/>
              <w:bottom w:w="90" w:type="dxa"/>
              <w:end w:w="80" w:type="dxa"/>
            </w:tcMar>
            <w:tcBorders>
              <w:top w:val="single" w:sz="4" w:color="C8D2DC"/>
              <w:left w:val="single" w:sz="4" w:color="C8D2DC"/>
              <w:bottom w:val="single" w:sz="4" w:color="C8D2DC"/>
              <w:right w:val="single" w:sz="4" w:color="C8D2DC"/>
            </w:tcBorders>
          </w:tcPr>
          <w:p>
            <w:pPr>
              <w:spacing w:before="0" w:after="0" w:line="240" w:lineRule="auto"/>
              <w:jc w:val="left"/>
            </w:pPr>
            <w:r>
              <w:rPr>
                <w:rFonts w:ascii="Lato" w:hAnsi="Lato" w:eastAsia="Lato"/>
                <w:b/>
                <w:color w:val="FFFFFF"/>
                <w:sz w:val="18"/>
              </w:rPr>
              <w:t>Открытые действия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Сертификация владельца данных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Технический обзор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Консистентность финансовых и финансовых операций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Юридический / секретарь компании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Внутренний аудит / обзор готовности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Рекомендация аудиторского комитета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Утверждение совета директоров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FFFFF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  <w:tr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Сертификация о выпуске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381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  <w:tc>
          <w:tcPr>
            <w:tcW w:type="dxa" w:w="2665"/>
            <w:shd w:fill="F3F5F7"/>
            <w:tcMar>
              <w:top w:w="75" w:type="dxa"/>
              <w:start w:w="80" w:type="dxa"/>
              <w:bottom w:w="75" w:type="dxa"/>
              <w:end w:w="80" w:type="dxa"/>
            </w:tcMar>
            <w:tcBorders>
              <w:top w:val="single" w:sz="3" w:color="C8D2DC"/>
              <w:left w:val="single" w:sz="3" w:color="C8D2DC"/>
              <w:bottom w:val="single" w:sz="3" w:color="C8D2DC"/>
              <w:right w:val="single" w:sz="3" w:color="C8D2DC"/>
            </w:tcBorders>
            <w:vAlign w:val="top"/>
          </w:tcPr>
          <w:p>
            <w:pPr>
              <w:spacing w:before="0" w:after="0" w:line="247" w:lineRule="auto"/>
            </w:pPr>
            <w:r>
              <w:rPr>
                <w:rFonts w:ascii="Lato" w:hAnsi="Lato" w:eastAsia="Lato"/>
                <w:b w:val="0"/>
                <w:color w:val="26384A"/>
                <w:sz w:val="17"/>
              </w:rPr>
              <w:t>[INSERT]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  <w:tblLayout w:type="fixed"/>
      </w:tblPr>
      <w:tblGrid>
        <w:gridCol w:w="10036"/>
      </w:tblGrid>
      <w:tr>
        <w:trPr>
          <w:cantSplit/>
        </w:trPr>
        <w:tc>
          <w:tcPr>
            <w:tcW w:type="dxa" w:w="10036"/>
            <w:shd w:fill="FFF2CC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left w:val="single" w:sz="18" w:color="7F6000"/>
            </w:tcBorders>
          </w:tcPr>
          <w:p>
            <w:pPr>
              <w:spacing w:before="0" w:after="60" w:line="240" w:lineRule="auto"/>
            </w:pPr>
            <w:r>
              <w:rPr>
                <w:rFonts w:ascii="Lato" w:hAnsi="Lato" w:eastAsia="Lato"/>
                <w:b/>
                <w:color w:val="7F6000"/>
                <w:sz w:val="17"/>
              </w:rPr>
              <w:t>FINAL LIMITATION</w:t>
            </w:r>
          </w:p>
          <w:p>
            <w:pPr>
              <w:spacing w:before="0" w:after="0" w:line="259" w:lineRule="auto"/>
            </w:pPr>
            <w:r>
              <w:rPr>
                <w:rFonts w:ascii="Lato" w:hAnsi="Lato" w:eastAsia="Lato"/>
                <w:b/>
                <w:color w:val="7F6000"/>
                <w:sz w:val="18"/>
              </w:rPr>
              <w:t>Илюстративные инструкции не заменяют финальный текст. UK стандарты SRS, решения по существенности и применимости для конкретных организаций, юридическое консультирование, внутренний контроль или независимая проверка.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822" w:left="935" w:header="255" w:footer="25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3345"/>
      <w:gridCol w:w="3345"/>
      <w:gridCol w:w="3345"/>
    </w:tblGrid>
    <w:tr>
      <w:tc>
        <w:tcPr>
          <w:tcW w:type="dxa" w:w="3628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spacing w:before="0" w:after="0" w:line="240" w:lineRule="auto"/>
          </w:pPr>
          <w:r>
            <w:rPr>
              <w:rFonts w:ascii="Lato" w:hAnsi="Lato" w:eastAsia="Lato"/>
              <w:color w:val="667788"/>
              <w:sz w:val="15"/>
            </w:rPr>
            <w:t>UKSRS-S2-TPL-001  · Версия 1.0</w:t>
          </w:r>
        </w:p>
      </w:tc>
      <w:tc>
        <w:tcPr>
          <w:tcW w:type="dxa" w:w="3685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spacing w:before="0" w:after="0" w:line="240" w:lineRule="auto"/>
            <w:jc w:val="center"/>
          </w:pPr>
          <w:r>
            <w:rPr>
              <w:rFonts w:ascii="Lato" w:hAnsi="Lato" w:eastAsia="Lato"/>
              <w:color w:val="667788"/>
              <w:sz w:val="15"/>
            </w:rPr>
            <w:t>Техническое ограничение: 3 Август 2026</w:t>
          </w:r>
        </w:p>
      </w:tc>
      <w:tc>
        <w:tcPr>
          <w:tcW w:type="dxa" w:w="2721"/>
          <w:tcMar>
            <w:top w:w="15" w:type="dxa"/>
            <w:start w:w="0" w:type="dxa"/>
            <w:bottom w:w="0" w:type="dxa"/>
            <w:end w:w="0" w:type="dxa"/>
          </w:tcMar>
          <w:tcBorders>
            <w:top w:val="single" w:sz="6" w:color="C8D2DC"/>
          </w:tcBorders>
        </w:tcPr>
        <w:p>
          <w:pPr>
            <w:jc w:val="right"/>
          </w:pPr>
          <w:r>
            <w:rPr>
              <w:rFonts w:ascii="Lato" w:hAnsi="Lato" w:eastAsia="Lato"/>
              <w:color w:val="667788"/>
              <w:sz w:val="16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jc w:val="center"/>
      <w:tblLayout w:type="fixed"/>
    </w:tblPr>
    <w:tblGrid>
      <w:gridCol w:w="5017"/>
      <w:gridCol w:w="5017"/>
    </w:tblGrid>
    <w:tr>
      <w:tc>
        <w:tcPr>
          <w:tcW w:type="dxa" w:w="7257"/>
          <w:tcMar>
            <w:top w:w="20" w:type="dxa"/>
            <w:start w:w="0" w:type="dxa"/>
            <w:bottom w:w="20" w:type="dxa"/>
            <w:end w:w="0" w:type="dxa"/>
          </w:tcMar>
          <w:tcBorders>
            <w:bottom w:val="single" w:sz="8" w:color="2A6F97"/>
          </w:tcBorders>
        </w:tcPr>
        <w:p>
          <w:pPr>
            <w:spacing w:before="0" w:after="0" w:line="240" w:lineRule="auto"/>
            <w:jc w:val="left"/>
          </w:pPr>
          <w:r>
            <w:rPr>
              <w:rFonts w:ascii="Lato" w:hAnsi="Lato" w:eastAsia="Lato"/>
              <w:b/>
              <w:color w:val="667788"/>
              <w:sz w:val="16"/>
            </w:rPr>
            <w:t>LONDON REPORTING ACADEMY  ·  ЦЕНТР ЗНАНИЙ</w:t>
          </w:r>
        </w:p>
      </w:tc>
      <w:tc>
        <w:tcPr>
          <w:tcW w:type="dxa" w:w="2778"/>
          <w:tcMar>
            <w:top w:w="20" w:type="dxa"/>
            <w:start w:w="0" w:type="dxa"/>
            <w:bottom w:w="20" w:type="dxa"/>
            <w:end w:w="0" w:type="dxa"/>
          </w:tcMar>
          <w:tcBorders>
            <w:bottom w:val="single" w:sz="8" w:color="2A6F97"/>
          </w:tcBorders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260000" cy="756000"/>
                <wp:docPr id="1" name="Picture 1" descr="London Reporting Academy logo" title="London Reporting Academy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RA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0000" cy="75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Lato" w:hAnsi="Lato" w:eastAsia="Lato"/>
      <w:color w:val="2638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Lato" w:hAnsi="Lato" w:eastAsia="Lato"/>
      <w:b/>
      <w:bCs/>
      <w:color w:val="173F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Lato" w:hAnsi="Lato" w:eastAsia="Lato"/>
      <w:b/>
      <w:bCs/>
      <w:color w:val="2A6F97"/>
      <w:sz w:val="3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Lato" w:hAnsi="Lato" w:eastAsia="Lato"/>
      <w:b/>
      <w:bCs/>
      <w:color w:val="173F65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 w:before="0"/>
      <w:contextualSpacing/>
    </w:pPr>
    <w:rPr>
      <w:rFonts w:asciiTheme="majorHAnsi" w:eastAsiaTheme="majorEastAsia" w:hAnsiTheme="majorHAnsi" w:cstheme="majorBidi" w:ascii="Lato" w:hAnsi="Lato" w:eastAsia="Lato"/>
      <w:b/>
      <w:color w:val="173F6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/>
    </w:pPr>
    <w:rPr>
      <w:rFonts w:asciiTheme="majorHAnsi" w:eastAsiaTheme="majorEastAsia" w:hAnsiTheme="majorHAnsi" w:cstheme="majorBidi" w:ascii="Lato" w:hAnsi="Lato" w:eastAsia="Lato"/>
      <w:b/>
      <w:i/>
      <w:iCs/>
      <w:color w:val="667788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59" w:lineRule="auto"/>
      <w:contextualSpacing/>
    </w:pPr>
    <w:rPr>
      <w:rFonts w:ascii="Lato" w:hAnsi="Lato" w:eastAsia="Lato"/>
      <w:color w:val="26384A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59" w:lineRule="auto"/>
      <w:contextualSpacing/>
    </w:pPr>
    <w:rPr>
      <w:rFonts w:ascii="Lato" w:hAnsi="Lato" w:eastAsia="Lato"/>
      <w:color w:val="26384A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RASmall">
    <w:name w:val="LRA Small"/>
    <w:pPr>
      <w:spacing w:after="60" w:line="240" w:lineRule="auto"/>
    </w:pPr>
    <w:rPr>
      <w:rFonts w:ascii="Lato" w:hAnsi="Lato" w:eastAsia="Lato"/>
      <w:color w:val="667788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UK SRS S2 Annual Report Disclosure Template</dc:title>
  <dc:subject>Editable structure and drafting prompts for basis of preparation, four pillars, scenarios, GHG, financial effects, judgements, provisions, cross-references and approval</dc:subject>
  <dc:creator>London Reporting Academy</dc:creator>
  <cp:keywords>UK SRS S2 report template, annual report, climate disclosure</cp:keywords>
  <dc:description>Prepared as a London Reporting Academy Knowledge Card Package.</dc:description>
  <cp:lastModifiedBy>London Reporting Academy</cp:lastModifiedBy>
  <cp:revision>1</cp:revision>
  <dcterms:created xsi:type="dcterms:W3CDTF">2013-12-23T23:15:00Z</dcterms:created>
  <dcterms:modified xsi:type="dcterms:W3CDTF">2013-12-23T23:15:00Z</dcterms:modified>
  <cp:category/>
</cp:coreProperties>
</file>