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057400" cy="1234440"/>
            <wp:docPr id="1" name="Picture 1" title="London Reporting Academy logo" descr="London Reporting Academy logo."/>
            <wp:cNvGraphicFramePr>
              <a:graphicFrameLocks noChangeAspect="1"/>
            </wp:cNvGraphicFramePr>
            <a:graphic>
              <a:graphicData uri="http://schemas.openxmlformats.org/drawingml/2006/picture">
                <pic:pic>
                  <pic:nvPicPr>
                    <pic:cNvPr id="0" name="lra_logo.png"/>
                    <pic:cNvPicPr/>
                  </pic:nvPicPr>
                  <pic:blipFill>
                    <a:blip r:embed="rId39"/>
                    <a:stretch>
                      <a:fillRect/>
                    </a:stretch>
                  </pic:blipFill>
                  <pic:spPr>
                    <a:xfrm>
                      <a:off x="0" y="0"/>
                      <a:ext cx="2057400" cy="1234440"/>
                    </a:xfrm>
                    <a:prstGeom prst="rect"/>
                  </pic:spPr>
                </pic:pic>
              </a:graphicData>
            </a:graphic>
          </wp:inline>
        </w:drawing>
      </w:r>
    </w:p>
    <w:p>
      <w:pPr>
        <w:spacing w:after="80"/>
        <w:jc w:val="left"/>
      </w:pPr>
      <w:r>
        <w:rPr>
          <w:rFonts w:ascii="Arial" w:hAnsi="Arial"/>
          <w:b/>
          <w:color w:val="173F73"/>
          <w:sz w:val="15"/>
        </w:rPr>
        <w:t>LRA KNOWLEDGE HUB · TNFD PRODUCTION PACK</w:t>
      </w:r>
    </w:p>
    <w:p>
      <w:pPr>
        <w:pStyle w:val="Title"/>
      </w:pPr>
      <w:r>
        <w:t>TNFD Supplier Nature Data Questionnaire and Evidence Matrix</w:t>
      </w:r>
    </w:p>
    <w:p>
      <w:pPr>
        <w:pStyle w:val="Subtitle"/>
      </w:pPr>
      <w:r>
        <w:t>Editable buyer tool for proportionate nature-data requests to suppliers and SMEs</w:t>
      </w:r>
    </w:p>
    <w:tbl>
      <w:tblPr>
        <w:tblW w:type="auto" w:w="0"/>
        <w:jc w:val="left"/>
        <w:tblLook w:firstColumn="1" w:firstRow="1" w:lastColumn="0" w:lastRow="0" w:noHBand="0" w:noVBand="1" w:val="04A0"/>
      </w:tblPr>
      <w:tblGrid>
        <w:gridCol w:w="15628"/>
      </w:tblGrid>
      <w:tr>
        <w:tc>
          <w:tcPr>
            <w:tcW w:type="dxa" w:w="15628"/>
            <w:shd w:fill="E7F5F3"/>
            <w:tcBorders>
              <w:top w:val="single" w:sz="6" w:color="157A6E"/>
              <w:left w:val="single" w:sz="12" w:color="157A6E"/>
              <w:bottom w:val="single" w:sz="6" w:color="157A6E"/>
              <w:right w:val="single" w:sz="6" w:color="157A6E"/>
            </w:tcBorders>
          </w:tcPr>
          <w:p>
            <w:pPr>
              <w:spacing w:after="40"/>
            </w:pPr>
            <w:r>
              <w:rPr>
                <w:rFonts w:ascii="Arial" w:hAnsi="Arial"/>
                <w:b/>
                <w:color w:val="157A6E"/>
                <w:sz w:val="18"/>
              </w:rPr>
              <w:t>Pack control</w:t>
              <w:br/>
            </w:r>
            <w:r>
              <w:rPr>
                <w:rFonts w:ascii="Arial" w:hAnsi="Arial"/>
                <w:color w:val="253446"/>
                <w:sz w:val="17"/>
              </w:rPr>
              <w:t>Pack ID: TNFD-SUP-TOOL-001. Source set reviewed 3 August 2026. Prepared in British English. Public release remains subject to final LRA technical and editorial approval.</w:t>
            </w:r>
          </w:p>
        </w:tc>
      </w:tr>
    </w:tbl>
    <w:p>
      <w:pPr>
        <w:spacing w:after="0"/>
      </w:pPr>
    </w:p>
    <w:p>
      <w:r>
        <w:br w:type="page"/>
      </w:r>
    </w:p>
    <w:p>
      <w:pPr>
        <w:pStyle w:val="Heading2"/>
        <w:keepNext/>
      </w:pPr>
      <w:r>
        <w:t>1. How to use this tool</w:t>
      </w:r>
    </w:p>
    <w:p>
      <w:pPr/>
      <w:r>
        <w:t>This is an LRA implementation template, not an official TNFD, GRI or ESRS form. Use the screening table first. Issue the minimum core to relevant suppliers. Add enhanced modules only where sector, commodity, location, business criticality or evidence gaps justify them. Replace placeholder text, define the reporting period and apply legal, procurement, competition, privacy, security and human-rights review as relevant.</w:t>
      </w:r>
    </w:p>
    <w:tbl>
      <w:tblPr>
        <w:tblW w:type="auto" w:w="0"/>
        <w:jc w:val="left"/>
        <w:tblLook w:firstColumn="1" w:firstRow="1" w:lastColumn="0" w:lastRow="0" w:noHBand="0" w:noVBand="1" w:val="04A0"/>
      </w:tblPr>
      <w:tblGrid>
        <w:gridCol w:w="15628"/>
      </w:tblGrid>
      <w:tr>
        <w:tc>
          <w:tcPr>
            <w:tcW w:type="dxa" w:w="15628"/>
            <w:shd w:fill="FFF4D8"/>
            <w:tcBorders>
              <w:top w:val="single" w:sz="6" w:color="9A6B00"/>
              <w:left w:val="single" w:sz="12" w:color="9A6B00"/>
              <w:bottom w:val="single" w:sz="6" w:color="9A6B00"/>
              <w:right w:val="single" w:sz="6" w:color="9A6B00"/>
            </w:tcBorders>
          </w:tcPr>
          <w:p>
            <w:pPr>
              <w:spacing w:after="40"/>
            </w:pPr>
            <w:r>
              <w:rPr>
                <w:rFonts w:ascii="Arial" w:hAnsi="Arial"/>
                <w:b/>
                <w:color w:val="9A6B00"/>
                <w:sz w:val="18"/>
              </w:rPr>
              <w:t>Proportionality rule</w:t>
              <w:br/>
            </w:r>
            <w:r>
              <w:rPr>
                <w:rFonts w:ascii="Arial" w:hAnsi="Arial"/>
                <w:color w:val="253446"/>
                <w:sz w:val="17"/>
              </w:rPr>
              <w:t>Do not require an SME to calculate a biodiversity footprint or collect plot-level data unless the buyer can explain the decision, scope, method, support and use. Accept "unknown", "estimated" and "confidential" as controlled states, not silent blanks.</w:t>
            </w:r>
          </w:p>
        </w:tc>
      </w:tr>
    </w:tbl>
    <w:p>
      <w:pPr>
        <w:spacing w:after="0"/>
      </w:pPr>
    </w:p>
    <w:p>
      <w:pPr>
        <w:pStyle w:val="Heading2"/>
        <w:keepNext/>
      </w:pPr>
      <w:r>
        <w:t>2. Buyer screening and module decision</w:t>
      </w:r>
    </w:p>
    <w:tbl>
      <w:tblPr>
        <w:tblStyle w:val="TableGrid"/>
        <w:tblW w:type="auto" w:w="0"/>
        <w:jc w:val="left"/>
        <w:tblLayout w:type="fixed"/>
        <w:tblLook w:firstColumn="1" w:firstRow="1" w:lastColumn="0" w:lastRow="0" w:noHBand="0" w:noVBand="1" w:val="04A0"/>
      </w:tblPr>
      <w:tblGrid>
        <w:gridCol w:w="1953"/>
        <w:gridCol w:w="1953"/>
        <w:gridCol w:w="1953"/>
        <w:gridCol w:w="1953"/>
        <w:gridCol w:w="1953"/>
        <w:gridCol w:w="1953"/>
        <w:gridCol w:w="1953"/>
        <w:gridCol w:w="1953"/>
      </w:tblGrid>
      <w:tr>
        <w:trPr>
          <w:tblHeader w:val="true"/>
          <w:cantSplit/>
        </w:trPr>
        <w:tc>
          <w:tcPr>
            <w:tcW w:type="dxa" w:w="9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Supplier / category</w:t>
            </w:r>
          </w:p>
        </w:tc>
        <w:tc>
          <w:tcPr>
            <w:tcW w:type="dxa" w:w="97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Product or commodity</w:t>
            </w:r>
          </w:p>
        </w:tc>
        <w:tc>
          <w:tcPr>
            <w:tcW w:type="dxa" w:w="756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Activity</w:t>
            </w:r>
          </w:p>
        </w:tc>
        <w:tc>
          <w:tcPr>
            <w:tcW w:type="dxa" w:w="827999"/>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Country / region</w:t>
            </w:r>
          </w:p>
        </w:tc>
        <w:tc>
          <w:tcPr>
            <w:tcW w:type="dxa" w:w="72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Spend / volume</w:t>
            </w:r>
          </w:p>
        </w:tc>
        <w:tc>
          <w:tcPr>
            <w:tcW w:type="dxa" w:w="118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Nature priority reason</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Module required</w:t>
            </w:r>
          </w:p>
        </w:tc>
        <w:tc>
          <w:tcPr>
            <w:tcW w:type="dxa" w:w="72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Owner</w:t>
            </w:r>
          </w:p>
        </w:tc>
      </w:tr>
      <w:tr>
        <w:trPr>
          <w:cantSplit/>
        </w:trPr>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97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756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827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72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1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[Sector / commodity / location / incident / criticality / gap]</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[Core / water / land / commodity / pollution / rights / targets]</w:t>
            </w:r>
          </w:p>
        </w:tc>
        <w:tc>
          <w:tcPr>
            <w:tcW w:type="dxa" w:w="72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r>
      <w:tr>
        <w:trPr>
          <w:cantSplit/>
        </w:trPr>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97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756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827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72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1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72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r>
      <w:tr>
        <w:trPr>
          <w:cantSplit/>
        </w:trPr>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97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756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827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72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1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72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r>
    </w:tbl>
    <w:p>
      <w:pPr>
        <w:spacing w:after="0"/>
      </w:pPr>
    </w:p>
    <w:p>
      <w:pPr>
        <w:pStyle w:val="Heading2"/>
        <w:keepNext/>
      </w:pPr>
      <w:r>
        <w:t>3. Supplier instructions</w:t>
      </w:r>
    </w:p>
    <w:p>
      <w:pPr>
        <w:pStyle w:val="ListBullet"/>
      </w:pPr>
      <w:r>
        <w:t>Report for the period: [insert period]. State where the answer relates to a different period.</w:t>
      </w:r>
    </w:p>
    <w:p>
      <w:pPr>
        <w:pStyle w:val="ListBullet"/>
      </w:pPr>
      <w:r>
        <w:t>Use the activity and production location relevant to the supplied product or service, not only the legal headquarters.</w:t>
      </w:r>
    </w:p>
    <w:p>
      <w:pPr>
        <w:pStyle w:val="ListBullet"/>
      </w:pPr>
      <w:r>
        <w:t>Choose one response status for each field: measured, estimated, modelled, unknown, not applicable or confidential.</w:t>
      </w:r>
    </w:p>
    <w:p>
      <w:pPr>
        <w:pStyle w:val="ListBullet"/>
      </w:pPr>
      <w:r>
        <w:t>Identify the evidence source and validity period. Do not upload unrelated environmental documents.</w:t>
      </w:r>
    </w:p>
    <w:p>
      <w:pPr>
        <w:pStyle w:val="ListBullet"/>
      </w:pPr>
      <w:r>
        <w:t>Where exact coordinates are confidential, select a restricted-access or aggregation option and explain the reason.</w:t>
      </w:r>
    </w:p>
    <w:p>
      <w:pPr>
        <w:pStyle w:val="ListBullet"/>
      </w:pPr>
      <w:r>
        <w:t>Identify any data gap and propose a realistic improvement date or support needed.</w:t>
      </w:r>
    </w:p>
    <w:p>
      <w:pPr>
        <w:pStyle w:val="Heading2"/>
        <w:keepNext/>
      </w:pPr>
      <w:r>
        <w:t>4. Minimum core questionnaire</w:t>
      </w:r>
    </w:p>
    <w:tbl>
      <w:tblPr>
        <w:tblStyle w:val="TableGrid"/>
        <w:tblW w:type="auto" w:w="0"/>
        <w:jc w:val="left"/>
        <w:tblLayout w:type="fixed"/>
        <w:tblLook w:firstColumn="1" w:firstRow="1" w:lastColumn="0" w:lastRow="0" w:noHBand="0" w:noVBand="1" w:val="04A0"/>
      </w:tblPr>
      <w:tblGrid>
        <w:gridCol w:w="2605"/>
        <w:gridCol w:w="2605"/>
        <w:gridCol w:w="2605"/>
        <w:gridCol w:w="2605"/>
        <w:gridCol w:w="2605"/>
        <w:gridCol w:w="2605"/>
      </w:tblGrid>
      <w:tr>
        <w:trPr>
          <w:tblHeader w:val="true"/>
          <w:cantSplit/>
        </w:trPr>
        <w:tc>
          <w:tcPr>
            <w:tcW w:type="dxa" w:w="36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ID</w:t>
            </w:r>
          </w:p>
        </w:tc>
        <w:tc>
          <w:tcPr>
            <w:tcW w:type="dxa" w:w="864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Field</w:t>
            </w:r>
          </w:p>
        </w:tc>
        <w:tc>
          <w:tcPr>
            <w:tcW w:type="dxa" w:w="208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Supplier prompt</w:t>
            </w:r>
          </w:p>
        </w:tc>
        <w:tc>
          <w:tcPr>
            <w:tcW w:type="dxa" w:w="9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Response type</w:t>
            </w:r>
          </w:p>
        </w:tc>
        <w:tc>
          <w:tcPr>
            <w:tcW w:type="dxa" w:w="1475999"/>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Suggested evidence</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Response</w:t>
            </w:r>
          </w:p>
        </w:tc>
      </w:tr>
      <w:tr>
        <w:trPr>
          <w:cantSplit/>
        </w:trPr>
        <w:tc>
          <w:tcPr>
            <w:tcW w:type="dxa" w:w="3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C01</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Entity and facility</w:t>
            </w:r>
          </w:p>
        </w:tc>
        <w:tc>
          <w:tcPr>
            <w:tcW w:type="dxa" w:w="20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Legal entity, operating entity and facility or activity supplying the buyer.</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Text</w:t>
            </w:r>
          </w:p>
        </w:tc>
        <w:tc>
          <w:tcPr>
            <w:tcW w:type="dxa" w:w="1475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Contract, supplier master, facility list</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C02</w:t>
            </w:r>
          </w:p>
        </w:tc>
        <w:tc>
          <w:tcPr>
            <w:tcW w:type="dxa" w:w="8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Product / service</w:t>
            </w:r>
          </w:p>
        </w:tc>
        <w:tc>
          <w:tcPr>
            <w:tcW w:type="dxa" w:w="20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Products, services and main natural commodities or materials supplied.</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Text / list</w:t>
            </w:r>
          </w:p>
        </w:tc>
        <w:tc>
          <w:tcPr>
            <w:tcW w:type="dxa" w:w="1475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Specification, bill of materials, invoice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C03</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Activity</w:t>
            </w:r>
          </w:p>
        </w:tc>
        <w:tc>
          <w:tcPr>
            <w:tcW w:type="dxa" w:w="20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Produce, grow, extract, process, trade, transport, construct, operate or provide service.</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Select / text</w:t>
            </w:r>
          </w:p>
        </w:tc>
        <w:tc>
          <w:tcPr>
            <w:tcW w:type="dxa" w:w="1475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Business licence, process description</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C04</w:t>
            </w:r>
          </w:p>
        </w:tc>
        <w:tc>
          <w:tcPr>
            <w:tcW w:type="dxa" w:w="8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Production location</w:t>
            </w:r>
          </w:p>
        </w:tc>
        <w:tc>
          <w:tcPr>
            <w:tcW w:type="dxa" w:w="20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Country and region; coordinates or polygon where available and relevant.</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Location + confidence</w:t>
            </w:r>
          </w:p>
        </w:tc>
        <w:tc>
          <w:tcPr>
            <w:tcW w:type="dxa" w:w="1475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Map, registry, GPS, geocoded address</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C05</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Origin / traceability</w:t>
            </w:r>
          </w:p>
        </w:tc>
        <w:tc>
          <w:tcPr>
            <w:tcW w:type="dxa" w:w="20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For traded or processed materials, furthest upstream origin known and percentage covered.</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Country / region / site / plot / unknown</w:t>
            </w:r>
          </w:p>
        </w:tc>
        <w:tc>
          <w:tcPr>
            <w:tcW w:type="dxa" w:w="1475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Chain of custody, supplier list, mass balance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C06</w:t>
            </w:r>
          </w:p>
        </w:tc>
        <w:tc>
          <w:tcPr>
            <w:tcW w:type="dxa" w:w="8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Water interface</w:t>
            </w:r>
          </w:p>
        </w:tc>
        <w:tc>
          <w:tcPr>
            <w:tcW w:type="dxa" w:w="20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Material dependency on or impact to water availability, quality, flow, flood or ecosystems.</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Yes / no / unknown + explanation</w:t>
            </w:r>
          </w:p>
        </w:tc>
        <w:tc>
          <w:tcPr>
            <w:tcW w:type="dxa" w:w="1475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Permit, meter, basin screen, water balance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C07</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Land / biodiversity interface</w:t>
            </w:r>
          </w:p>
        </w:tc>
        <w:tc>
          <w:tcPr>
            <w:tcW w:type="dxa" w:w="20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Land use, habitat, soil, species, ecosystem services or sensitive-location relevance.</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Yes / no / unknown + explanation</w:t>
            </w:r>
          </w:p>
        </w:tc>
        <w:tc>
          <w:tcPr>
            <w:tcW w:type="dxa" w:w="1475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Site plan, survey, remote sensing, audit</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C08</w:t>
            </w:r>
          </w:p>
        </w:tc>
        <w:tc>
          <w:tcPr>
            <w:tcW w:type="dxa" w:w="8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Controls and permits</w:t>
            </w:r>
          </w:p>
        </w:tc>
        <w:tc>
          <w:tcPr>
            <w:tcW w:type="dxa" w:w="20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Relevant policies, procedures, permits, certifications and their scope and expiry.</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List</w:t>
            </w:r>
          </w:p>
        </w:tc>
        <w:tc>
          <w:tcPr>
            <w:tcW w:type="dxa" w:w="1475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Current controlled documents</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C09</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Incidents and grievances</w:t>
            </w:r>
          </w:p>
        </w:tc>
        <w:tc>
          <w:tcPr>
            <w:tcW w:type="dxa" w:w="20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Material incidents, enforcement, unresolved grievances or remediation in the period.</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Yes / no / restricted + explanation</w:t>
            </w:r>
          </w:p>
        </w:tc>
        <w:tc>
          <w:tcPr>
            <w:tcW w:type="dxa" w:w="1475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Incident log, regulator record, grievance register</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C10</w:t>
            </w:r>
          </w:p>
        </w:tc>
        <w:tc>
          <w:tcPr>
            <w:tcW w:type="dxa" w:w="8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Metrics and targets</w:t>
            </w:r>
          </w:p>
        </w:tc>
        <w:tc>
          <w:tcPr>
            <w:tcW w:type="dxa" w:w="20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Nature-related metrics or targets used for the supplied activity or product.</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Text / numeric</w:t>
            </w:r>
          </w:p>
        </w:tc>
        <w:tc>
          <w:tcPr>
            <w:tcW w:type="dxa" w:w="1475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Methodology, baseline, target approval, progress file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C11</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Evidence status</w:t>
            </w:r>
          </w:p>
        </w:tc>
        <w:tc>
          <w:tcPr>
            <w:tcW w:type="dxa" w:w="20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For material answers, identify source, period and whether measured, estimated or modelled.</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Evidence register</w:t>
            </w:r>
          </w:p>
        </w:tc>
        <w:tc>
          <w:tcPr>
            <w:tcW w:type="dxa" w:w="1475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Document ID / URL / owner</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C12</w:t>
            </w:r>
          </w:p>
        </w:tc>
        <w:tc>
          <w:tcPr>
            <w:tcW w:type="dxa" w:w="8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Data gaps</w:t>
            </w:r>
          </w:p>
        </w:tc>
        <w:tc>
          <w:tcPr>
            <w:tcW w:type="dxa" w:w="20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Fields unavailable, why, interim proxy and expected improvement date.</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Gap plan</w:t>
            </w:r>
          </w:p>
        </w:tc>
        <w:tc>
          <w:tcPr>
            <w:tcW w:type="dxa" w:w="1475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Approved improvement plan</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C13</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Confidentiality</w:t>
            </w:r>
          </w:p>
        </w:tc>
        <w:tc>
          <w:tcPr>
            <w:tcW w:type="dxa" w:w="20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Fields requiring restricted access, masking, aggregation or third-party verification.</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Select + reason</w:t>
            </w:r>
          </w:p>
        </w:tc>
        <w:tc>
          <w:tcPr>
            <w:tcW w:type="dxa" w:w="1475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NDA, data-sharing agreement, access control</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r>
        <w:trPr>
          <w:cantSplit/>
        </w:trPr>
        <w:tc>
          <w:tcPr>
            <w:tcW w:type="dxa" w:w="3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C14</w:t>
            </w:r>
          </w:p>
        </w:tc>
        <w:tc>
          <w:tcPr>
            <w:tcW w:type="dxa" w:w="8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Responsible contact</w:t>
            </w:r>
          </w:p>
        </w:tc>
        <w:tc>
          <w:tcPr>
            <w:tcW w:type="dxa" w:w="20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Named role responsible for the answers and follow-up.</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Name / role / email</w:t>
            </w:r>
          </w:p>
        </w:tc>
        <w:tc>
          <w:tcPr>
            <w:tcW w:type="dxa" w:w="1475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Management approval</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[Supplier response]</w:t>
            </w:r>
          </w:p>
        </w:tc>
      </w:tr>
    </w:tbl>
    <w:p>
      <w:pPr>
        <w:spacing w:after="0"/>
      </w:pPr>
    </w:p>
    <w:p>
      <w:pPr>
        <w:pStyle w:val="Heading2"/>
        <w:keepNext/>
      </w:pPr>
      <w:r>
        <w:t>5. Enhanced commodity and traceability module</w:t>
      </w:r>
    </w:p>
    <w:tbl>
      <w:tblPr>
        <w:tblStyle w:val="TableGrid"/>
        <w:tblW w:type="auto" w:w="0"/>
        <w:jc w:val="left"/>
        <w:tblLayout w:type="fixed"/>
        <w:tblLook w:firstColumn="1" w:firstRow="1" w:lastColumn="0" w:lastRow="0" w:noHBand="0" w:noVBand="1" w:val="04A0"/>
      </w:tblPr>
      <w:tblGrid>
        <w:gridCol w:w="3907"/>
        <w:gridCol w:w="3907"/>
        <w:gridCol w:w="3907"/>
        <w:gridCol w:w="3907"/>
      </w:tblGrid>
      <w:tr>
        <w:trPr>
          <w:tblHeader w:val="true"/>
          <w:cantSplit/>
        </w:trPr>
        <w:tc>
          <w:tcPr>
            <w:tcW w:type="dxa" w:w="43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ID</w:t>
            </w:r>
          </w:p>
        </w:tc>
        <w:tc>
          <w:tcPr>
            <w:tcW w:type="dxa" w:w="280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Question</w:t>
            </w:r>
          </w:p>
        </w:tc>
        <w:tc>
          <w:tcPr>
            <w:tcW w:type="dxa" w:w="115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Response</w:t>
            </w:r>
          </w:p>
        </w:tc>
        <w:tc>
          <w:tcPr>
            <w:tcW w:type="dxa" w:w="2304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Evidence / limitation</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COM01</w:t>
            </w:r>
          </w:p>
        </w:tc>
        <w:tc>
          <w:tcPr>
            <w:tcW w:type="dxa" w:w="280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Commodity or natural material and annual volume supplied to the buyer.</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30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COM02</w:t>
            </w:r>
          </w:p>
        </w:tc>
        <w:tc>
          <w:tcPr>
            <w:tcW w:type="dxa" w:w="280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Origin level: country, region, basin, procurement point, farm, mine, forest, fishery, facility or plot.</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30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COM03</w:t>
            </w:r>
          </w:p>
        </w:tc>
        <w:tc>
          <w:tcPr>
            <w:tcW w:type="dxa" w:w="280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Percentage of supplied volume covered by each origin level and chain-of-custody model.</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30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COM04</w:t>
            </w:r>
          </w:p>
        </w:tc>
        <w:tc>
          <w:tcPr>
            <w:tcW w:type="dxa" w:w="280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Known conversion, deforestation, extraction, harvesting or land-use-change cut-off date and evidence.</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30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COM05</w:t>
            </w:r>
          </w:p>
        </w:tc>
        <w:tc>
          <w:tcPr>
            <w:tcW w:type="dxa" w:w="280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Certification or assurance scheme, scope, certificate holder, sites, validity, audit status and exclusions.</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30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COM06</w:t>
            </w:r>
          </w:p>
        </w:tc>
        <w:tc>
          <w:tcPr>
            <w:tcW w:type="dxa" w:w="280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Unknown or mixed-origin share, proxy used and time-bound traceability improvement plan.</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30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r>
    </w:tbl>
    <w:p>
      <w:pPr>
        <w:spacing w:after="0"/>
      </w:pPr>
    </w:p>
    <w:p>
      <w:pPr>
        <w:pStyle w:val="Heading2"/>
        <w:keepNext/>
      </w:pPr>
      <w:r>
        <w:t>6. Enhanced water module</w:t>
      </w:r>
    </w:p>
    <w:tbl>
      <w:tblPr>
        <w:tblStyle w:val="TableGrid"/>
        <w:tblW w:type="auto" w:w="0"/>
        <w:jc w:val="left"/>
        <w:tblLayout w:type="fixed"/>
        <w:tblLook w:firstColumn="1" w:firstRow="1" w:lastColumn="0" w:lastRow="0" w:noHBand="0" w:noVBand="1" w:val="04A0"/>
      </w:tblPr>
      <w:tblGrid>
        <w:gridCol w:w="3907"/>
        <w:gridCol w:w="3907"/>
        <w:gridCol w:w="3907"/>
        <w:gridCol w:w="3907"/>
      </w:tblGrid>
      <w:tr>
        <w:trPr>
          <w:tblHeader w:val="true"/>
          <w:cantSplit/>
        </w:trPr>
        <w:tc>
          <w:tcPr>
            <w:tcW w:type="dxa" w:w="43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ID</w:t>
            </w:r>
          </w:p>
        </w:tc>
        <w:tc>
          <w:tcPr>
            <w:tcW w:type="dxa" w:w="27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Question</w:t>
            </w:r>
          </w:p>
        </w:tc>
        <w:tc>
          <w:tcPr>
            <w:tcW w:type="dxa" w:w="126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Unit / response</w:t>
            </w:r>
          </w:p>
        </w:tc>
        <w:tc>
          <w:tcPr>
            <w:tcW w:type="dxa" w:w="2304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Evidence / limitation</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W01</w:t>
            </w:r>
          </w:p>
        </w:tc>
        <w:tc>
          <w:tcPr>
            <w:tcW w:type="dxa" w:w="27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Water source, basin or catchment and seasonal constraint.</w:t>
            </w:r>
          </w:p>
        </w:tc>
        <w:tc>
          <w:tcPr>
            <w:tcW w:type="dxa" w:w="12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[Source / basin]</w:t>
            </w:r>
          </w:p>
        </w:tc>
        <w:tc>
          <w:tcPr>
            <w:tcW w:type="dxa" w:w="230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[Map / permit / screen]</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W02</w:t>
            </w:r>
          </w:p>
        </w:tc>
        <w:tc>
          <w:tcPr>
            <w:tcW w:type="dxa" w:w="27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Withdrawal and consumption for relevant facility or product.</w:t>
            </w:r>
          </w:p>
        </w:tc>
        <w:tc>
          <w:tcPr>
            <w:tcW w:type="dxa" w:w="12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[m3 and period]</w:t>
            </w:r>
          </w:p>
        </w:tc>
        <w:tc>
          <w:tcPr>
            <w:tcW w:type="dxa" w:w="230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[Meter / estimate method]</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W03</w:t>
            </w:r>
          </w:p>
        </w:tc>
        <w:tc>
          <w:tcPr>
            <w:tcW w:type="dxa" w:w="27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Discharge volume, destination, quality parameters and exceedances.</w:t>
            </w:r>
          </w:p>
        </w:tc>
        <w:tc>
          <w:tcPr>
            <w:tcW w:type="dxa" w:w="12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[m3 / parameter]</w:t>
            </w:r>
          </w:p>
        </w:tc>
        <w:tc>
          <w:tcPr>
            <w:tcW w:type="dxa" w:w="230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[Permit / laboratory / incident]</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W04</w:t>
            </w:r>
          </w:p>
        </w:tc>
        <w:tc>
          <w:tcPr>
            <w:tcW w:type="dxa" w:w="27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Material dependency on water quality, flood regulation or ecosystem condition.</w:t>
            </w:r>
          </w:p>
        </w:tc>
        <w:tc>
          <w:tcPr>
            <w:tcW w:type="dxa" w:w="12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[Explain]</w:t>
            </w:r>
          </w:p>
        </w:tc>
        <w:tc>
          <w:tcPr>
            <w:tcW w:type="dxa" w:w="230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[Risk assessment / operational threshold]</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W05</w:t>
            </w:r>
          </w:p>
        </w:tc>
        <w:tc>
          <w:tcPr>
            <w:tcW w:type="dxa" w:w="27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Affected users, communities or ecosystems and engagement or grievance process.</w:t>
            </w:r>
          </w:p>
        </w:tc>
        <w:tc>
          <w:tcPr>
            <w:tcW w:type="dxa" w:w="12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[Explain / restricted]</w:t>
            </w:r>
          </w:p>
        </w:tc>
        <w:tc>
          <w:tcPr>
            <w:tcW w:type="dxa" w:w="230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[Engagement record / grievance]</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W06</w:t>
            </w:r>
          </w:p>
        </w:tc>
        <w:tc>
          <w:tcPr>
            <w:tcW w:type="dxa" w:w="27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Water target, baseline, actions, progress and outcome evidence.</w:t>
            </w:r>
          </w:p>
        </w:tc>
        <w:tc>
          <w:tcPr>
            <w:tcW w:type="dxa" w:w="12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30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[Target file / monitoring]</w:t>
            </w:r>
          </w:p>
        </w:tc>
      </w:tr>
    </w:tbl>
    <w:p>
      <w:pPr>
        <w:spacing w:after="0"/>
      </w:pPr>
    </w:p>
    <w:p>
      <w:pPr>
        <w:pStyle w:val="Heading2"/>
        <w:keepNext/>
      </w:pPr>
      <w:r>
        <w:t>7. Enhanced land, biodiversity and community module</w:t>
      </w:r>
    </w:p>
    <w:tbl>
      <w:tblPr>
        <w:tblStyle w:val="TableGrid"/>
        <w:tblW w:type="auto" w:w="0"/>
        <w:jc w:val="left"/>
        <w:tblLayout w:type="fixed"/>
        <w:tblLook w:firstColumn="1" w:firstRow="1" w:lastColumn="0" w:lastRow="0" w:noHBand="0" w:noVBand="1" w:val="04A0"/>
      </w:tblPr>
      <w:tblGrid>
        <w:gridCol w:w="3907"/>
        <w:gridCol w:w="3907"/>
        <w:gridCol w:w="3907"/>
        <w:gridCol w:w="3907"/>
      </w:tblGrid>
      <w:tr>
        <w:trPr>
          <w:tblHeader w:val="true"/>
          <w:cantSplit/>
        </w:trPr>
        <w:tc>
          <w:tcPr>
            <w:tcW w:type="dxa" w:w="43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ID</w:t>
            </w:r>
          </w:p>
        </w:tc>
        <w:tc>
          <w:tcPr>
            <w:tcW w:type="dxa" w:w="2664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Question</w:t>
            </w:r>
          </w:p>
        </w:tc>
        <w:tc>
          <w:tcPr>
            <w:tcW w:type="dxa" w:w="115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Response</w:t>
            </w:r>
          </w:p>
        </w:tc>
        <w:tc>
          <w:tcPr>
            <w:tcW w:type="dxa" w:w="244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3"/>
              </w:rPr>
              <w:t>Evidence / limitation</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BIO01</w:t>
            </w:r>
          </w:p>
        </w:tc>
        <w:tc>
          <w:tcPr>
            <w:tcW w:type="dxa" w:w="26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Site coordinates or polygon and total controlled, disturbed and rehabilitated area.</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4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[GIS / site plan]</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BIO02</w:t>
            </w:r>
          </w:p>
        </w:tc>
        <w:tc>
          <w:tcPr>
            <w:tcW w:type="dxa" w:w="26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Previous and current land use, ecosystem type and material change in the reporting period.</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4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[Baseline / remote sensing / survey]</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BIO03</w:t>
            </w:r>
          </w:p>
        </w:tc>
        <w:tc>
          <w:tcPr>
            <w:tcW w:type="dxa" w:w="26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Proximity or interface with protected areas, high-integrity or rapidly declining ecosystems, biodiversity-important areas or water stress.</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4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[Dataset, version, buffer and scale]</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BIO04</w:t>
            </w:r>
          </w:p>
        </w:tc>
        <w:tc>
          <w:tcPr>
            <w:tcW w:type="dxa" w:w="26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Material direct drivers: land or sea use, resource extraction, pollution, climate or invasive species.</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4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[Operational and environmental data]</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BIO05</w:t>
            </w:r>
          </w:p>
        </w:tc>
        <w:tc>
          <w:tcPr>
            <w:tcW w:type="dxa" w:w="26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Material ecosystem-service dependencies and evidence of changing availability or quality.</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4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[Dependency assessment / monitoring]</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BIO06</w:t>
            </w:r>
          </w:p>
        </w:tc>
        <w:tc>
          <w:tcPr>
            <w:tcW w:type="dxa" w:w="26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Affected communities, Indigenous Peoples or Local Communities, applicable rights and engagement process.</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 / restricted]</w:t>
            </w:r>
          </w:p>
        </w:tc>
        <w:tc>
          <w:tcPr>
            <w:tcW w:type="dxa" w:w="24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[Rights assessment / engagement / FPIC where applicable]</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BIO07</w:t>
            </w:r>
          </w:p>
        </w:tc>
        <w:tc>
          <w:tcPr>
            <w:tcW w:type="dxa" w:w="26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Avoidance, minimisation, restoration, rehabilitation or other response and residual impact.</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4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[Plan, budget, monitoring, approval]</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BIO08</w:t>
            </w:r>
          </w:p>
        </w:tc>
        <w:tc>
          <w:tcPr>
            <w:tcW w:type="dxa" w:w="26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Baseline, target, condition or outcome metric, method, progress and limitations.</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[Complete]</w:t>
            </w:r>
          </w:p>
        </w:tc>
        <w:tc>
          <w:tcPr>
            <w:tcW w:type="dxa" w:w="24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3"/>
              </w:rPr>
              <w:t>[Methodology / specialist report]</w:t>
            </w:r>
          </w:p>
        </w:tc>
      </w:tr>
    </w:tbl>
    <w:p>
      <w:pPr>
        <w:spacing w:after="0"/>
      </w:pPr>
    </w:p>
    <w:p>
      <w:pPr>
        <w:pStyle w:val="Heading2"/>
        <w:keepNext/>
      </w:pPr>
      <w:r>
        <w:t>8. Evidence assessment matrix</w:t>
      </w:r>
    </w:p>
    <w:tbl>
      <w:tblPr>
        <w:tblStyle w:val="TableGrid"/>
        <w:tblW w:type="auto" w:w="0"/>
        <w:jc w:val="left"/>
        <w:tblLayout w:type="fixed"/>
        <w:tblLook w:firstColumn="1" w:firstRow="1" w:lastColumn="0" w:lastRow="0" w:noHBand="0" w:noVBand="1" w:val="04A0"/>
      </w:tblPr>
      <w:tblGrid>
        <w:gridCol w:w="1953"/>
        <w:gridCol w:w="1953"/>
        <w:gridCol w:w="1953"/>
        <w:gridCol w:w="1953"/>
        <w:gridCol w:w="1953"/>
        <w:gridCol w:w="1953"/>
        <w:gridCol w:w="1953"/>
        <w:gridCol w:w="1953"/>
      </w:tblGrid>
      <w:tr>
        <w:trPr>
          <w:tblHeader w:val="true"/>
          <w:cantSplit/>
        </w:trPr>
        <w:tc>
          <w:tcPr>
            <w:tcW w:type="dxa" w:w="9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Field / claim</w:t>
            </w:r>
          </w:p>
        </w:tc>
        <w:tc>
          <w:tcPr>
            <w:tcW w:type="dxa" w:w="54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Evidence ID</w:t>
            </w:r>
          </w:p>
        </w:tc>
        <w:tc>
          <w:tcPr>
            <w:tcW w:type="dxa" w:w="46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Tier 1-4</w:t>
            </w:r>
          </w:p>
        </w:tc>
        <w:tc>
          <w:tcPr>
            <w:tcW w:type="dxa" w:w="54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Period</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Scope and location</w:t>
            </w:r>
          </w:p>
        </w:tc>
        <w:tc>
          <w:tcPr>
            <w:tcW w:type="dxa" w:w="115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Method / assurance</w:t>
            </w:r>
          </w:p>
        </w:tc>
        <w:tc>
          <w:tcPr>
            <w:tcW w:type="dxa" w:w="126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Reviewer conclusion</w:t>
            </w:r>
          </w:p>
        </w:tc>
        <w:tc>
          <w:tcPr>
            <w:tcW w:type="dxa" w:w="9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Action</w:t>
            </w:r>
          </w:p>
        </w:tc>
      </w:tr>
      <w:tr>
        <w:trPr>
          <w:cantSplit/>
        </w:trPr>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54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[ID]</w:t>
            </w:r>
          </w:p>
        </w:tc>
        <w:tc>
          <w:tcPr>
            <w:tcW w:type="dxa" w:w="46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[1-4]</w:t>
            </w:r>
          </w:p>
        </w:tc>
        <w:tc>
          <w:tcPr>
            <w:tcW w:type="dxa" w:w="54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[Period]</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2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[Accept / qualify / reject]</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[Action]</w:t>
            </w:r>
          </w:p>
        </w:tc>
      </w:tr>
      <w:tr>
        <w:trPr>
          <w:cantSplit/>
        </w:trPr>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54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[ID]</w:t>
            </w:r>
          </w:p>
        </w:tc>
        <w:tc>
          <w:tcPr>
            <w:tcW w:type="dxa" w:w="46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[1-4]</w:t>
            </w:r>
          </w:p>
        </w:tc>
        <w:tc>
          <w:tcPr>
            <w:tcW w:type="dxa" w:w="54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[Period]</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2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[Accept / qualify / reject]</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[Action]</w:t>
            </w:r>
          </w:p>
        </w:tc>
      </w:tr>
      <w:tr>
        <w:trPr>
          <w:cantSplit/>
        </w:trPr>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54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[ID]</w:t>
            </w:r>
          </w:p>
        </w:tc>
        <w:tc>
          <w:tcPr>
            <w:tcW w:type="dxa" w:w="46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[1-4]</w:t>
            </w:r>
          </w:p>
        </w:tc>
        <w:tc>
          <w:tcPr>
            <w:tcW w:type="dxa" w:w="54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[Period]</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2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[Accept / qualify / reject]</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[Action]</w:t>
            </w:r>
          </w:p>
        </w:tc>
      </w:tr>
    </w:tbl>
    <w:p>
      <w:pPr>
        <w:spacing w:after="0"/>
      </w:pPr>
    </w:p>
    <w:tbl>
      <w:tblPr>
        <w:tblW w:type="auto" w:w="0"/>
        <w:jc w:val="left"/>
        <w:tblLook w:firstColumn="1" w:firstRow="1" w:lastColumn="0" w:lastRow="0" w:noHBand="0" w:noVBand="1" w:val="04A0"/>
      </w:tblPr>
      <w:tblGrid>
        <w:gridCol w:w="15628"/>
      </w:tblGrid>
      <w:tr>
        <w:tc>
          <w:tcPr>
            <w:tcW w:type="dxa" w:w="15628"/>
            <w:shd w:fill="EAF3F8"/>
            <w:tcBorders>
              <w:top w:val="single" w:sz="6" w:color="2673A9"/>
              <w:left w:val="single" w:sz="12" w:color="2673A9"/>
              <w:bottom w:val="single" w:sz="6" w:color="2673A9"/>
              <w:right w:val="single" w:sz="6" w:color="2673A9"/>
            </w:tcBorders>
          </w:tcPr>
          <w:p>
            <w:pPr>
              <w:spacing w:after="40"/>
            </w:pPr>
            <w:r>
              <w:rPr>
                <w:rFonts w:ascii="Arial" w:hAnsi="Arial"/>
                <w:b/>
                <w:color w:val="2673A9"/>
                <w:sz w:val="18"/>
              </w:rPr>
              <w:t>Evidence-tier interpretation</w:t>
              <w:br/>
            </w:r>
            <w:r>
              <w:rPr>
                <w:rFonts w:ascii="Arial" w:hAnsi="Arial"/>
                <w:color w:val="253446"/>
                <w:sz w:val="17"/>
              </w:rPr>
              <w:t>Tier 1: self-declaration. Tier 2: controlled document or record. Tier 3: geospatial, third-party or authority evidence. Tier 4: site, commodity or outcome verification. Review relevance, scope, period and method before accepting any tier.</w:t>
            </w:r>
          </w:p>
        </w:tc>
      </w:tr>
    </w:tbl>
    <w:p>
      <w:pPr>
        <w:spacing w:after="0"/>
      </w:pPr>
    </w:p>
    <w:p>
      <w:pPr>
        <w:pStyle w:val="Heading2"/>
        <w:keepNext/>
      </w:pPr>
      <w:r>
        <w:t>9. Confidentiality and access record</w:t>
      </w:r>
    </w:p>
    <w:tbl>
      <w:tblPr>
        <w:tblStyle w:val="TableGrid"/>
        <w:tblW w:type="auto" w:w="0"/>
        <w:jc w:val="left"/>
        <w:tblLayout w:type="fixed"/>
        <w:tblLook w:firstColumn="1" w:firstRow="1" w:lastColumn="0" w:lastRow="0" w:noHBand="0" w:noVBand="1" w:val="04A0"/>
      </w:tblPr>
      <w:tblGrid>
        <w:gridCol w:w="2233"/>
        <w:gridCol w:w="2233"/>
        <w:gridCol w:w="2233"/>
        <w:gridCol w:w="2233"/>
        <w:gridCol w:w="2233"/>
        <w:gridCol w:w="2233"/>
        <w:gridCol w:w="2233"/>
      </w:tblGrid>
      <w:tr>
        <w:trPr>
          <w:tblHeader w:val="true"/>
          <w:cantSplit/>
        </w:trPr>
        <w:tc>
          <w:tcPr>
            <w:tcW w:type="dxa" w:w="9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Data field</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Classification</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Reason</w:t>
            </w:r>
          </w:p>
        </w:tc>
        <w:tc>
          <w:tcPr>
            <w:tcW w:type="dxa" w:w="9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Permitted users</w:t>
            </w:r>
          </w:p>
        </w:tc>
        <w:tc>
          <w:tcPr>
            <w:tcW w:type="dxa" w:w="1007999"/>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Storage / transfer</w:t>
            </w:r>
          </w:p>
        </w:tc>
        <w:tc>
          <w:tcPr>
            <w:tcW w:type="dxa" w:w="64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Retention</w:t>
            </w:r>
          </w:p>
        </w:tc>
        <w:tc>
          <w:tcPr>
            <w:tcW w:type="dxa" w:w="118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Public treatment</w:t>
            </w:r>
          </w:p>
        </w:tc>
      </w:tr>
      <w:tr>
        <w:trPr>
          <w:cantSplit/>
        </w:trPr>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[Public / buyer restricted / third-party / masked / unavailable]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[Roles]</w:t>
            </w:r>
          </w:p>
        </w:tc>
        <w:tc>
          <w:tcPr>
            <w:tcW w:type="dxa" w:w="1007999"/>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[System / data room]</w:t>
            </w:r>
          </w:p>
        </w:tc>
        <w:tc>
          <w:tcPr>
            <w:tcW w:type="dxa" w:w="6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[Period]</w:t>
            </w:r>
          </w:p>
        </w:tc>
        <w:tc>
          <w:tcPr>
            <w:tcW w:type="dxa" w:w="11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[Aggregate / method only / no disclosure]</w:t>
            </w:r>
          </w:p>
        </w:tc>
      </w:tr>
      <w:tr>
        <w:trPr>
          <w:cantSplit/>
        </w:trPr>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07999"/>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6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1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r>
    </w:tbl>
    <w:p>
      <w:pPr>
        <w:spacing w:after="0"/>
      </w:pPr>
    </w:p>
    <w:p>
      <w:pPr>
        <w:pStyle w:val="Heading2"/>
        <w:keepNext/>
      </w:pPr>
      <w:r>
        <w:t>10. Supplier improvement plan</w:t>
      </w:r>
    </w:p>
    <w:tbl>
      <w:tblPr>
        <w:tblStyle w:val="TableGrid"/>
        <w:tblW w:type="auto" w:w="0"/>
        <w:jc w:val="left"/>
        <w:tblLayout w:type="fixed"/>
        <w:tblLook w:firstColumn="1" w:firstRow="1" w:lastColumn="0" w:lastRow="0" w:noHBand="0" w:noVBand="1" w:val="04A0"/>
      </w:tblPr>
      <w:tblGrid>
        <w:gridCol w:w="1953"/>
        <w:gridCol w:w="1953"/>
        <w:gridCol w:w="1953"/>
        <w:gridCol w:w="1953"/>
        <w:gridCol w:w="1953"/>
        <w:gridCol w:w="1953"/>
        <w:gridCol w:w="1953"/>
        <w:gridCol w:w="1953"/>
      </w:tblGrid>
      <w:tr>
        <w:trPr>
          <w:tblHeader w:val="true"/>
          <w:cantSplit/>
        </w:trPr>
        <w:tc>
          <w:tcPr>
            <w:tcW w:type="dxa" w:w="43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Gap ID</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Material issue / field</w:t>
            </w:r>
          </w:p>
        </w:tc>
        <w:tc>
          <w:tcPr>
            <w:tcW w:type="dxa" w:w="9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Current status</w:t>
            </w:r>
          </w:p>
        </w:tc>
        <w:tc>
          <w:tcPr>
            <w:tcW w:type="dxa" w:w="864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Interim proxy</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Supplier action</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Buyer support</w:t>
            </w:r>
          </w:p>
        </w:tc>
        <w:tc>
          <w:tcPr>
            <w:tcW w:type="dxa" w:w="64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Due date</w:t>
            </w:r>
          </w:p>
        </w:tc>
        <w:tc>
          <w:tcPr>
            <w:tcW w:type="dxa" w:w="1152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2"/>
              </w:rPr>
              <w:t>Escalation / decision</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[ID]</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[Unknown / estimated / incomplete]</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6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[Date]</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r>
      <w:tr>
        <w:trPr>
          <w:cantSplit/>
        </w:trPr>
        <w:tc>
          <w:tcPr>
            <w:tcW w:type="dxa" w:w="43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[ID]</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9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864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6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[Date]</w:t>
            </w:r>
          </w:p>
        </w:tc>
        <w:tc>
          <w:tcPr>
            <w:tcW w:type="dxa" w:w="1152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r>
      <w:tr>
        <w:trPr>
          <w:cantSplit/>
        </w:trPr>
        <w:tc>
          <w:tcPr>
            <w:tcW w:type="dxa" w:w="43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[ID]</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9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864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c>
          <w:tcPr>
            <w:tcW w:type="dxa" w:w="6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[Date]</w:t>
            </w:r>
          </w:p>
        </w:tc>
        <w:tc>
          <w:tcPr>
            <w:tcW w:type="dxa" w:w="1152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2"/>
              </w:rPr>
              <w:t>[Complete]</w:t>
            </w:r>
          </w:p>
        </w:tc>
      </w:tr>
    </w:tbl>
    <w:p>
      <w:pPr>
        <w:spacing w:after="0"/>
      </w:pPr>
    </w:p>
    <w:p>
      <w:pPr>
        <w:pStyle w:val="Heading2"/>
        <w:keepNext/>
      </w:pPr>
      <w:r>
        <w:t>11. Buyer review and sign-off</w:t>
      </w:r>
    </w:p>
    <w:tbl>
      <w:tblPr>
        <w:tblStyle w:val="TableGrid"/>
        <w:tblW w:type="auto" w:w="0"/>
        <w:jc w:val="left"/>
        <w:tblLayout w:type="fixed"/>
        <w:tblLook w:firstColumn="1" w:firstRow="1" w:lastColumn="0" w:lastRow="0" w:noHBand="0" w:noVBand="1" w:val="04A0"/>
      </w:tblPr>
      <w:tblGrid>
        <w:gridCol w:w="3907"/>
        <w:gridCol w:w="3907"/>
        <w:gridCol w:w="3907"/>
        <w:gridCol w:w="3907"/>
      </w:tblGrid>
      <w:tr>
        <w:trPr>
          <w:tblHeader w:val="true"/>
          <w:cantSplit/>
        </w:trPr>
        <w:tc>
          <w:tcPr>
            <w:tcW w:type="dxa" w:w="180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4"/>
              </w:rPr>
              <w:t>Review area</w:t>
            </w:r>
          </w:p>
        </w:tc>
        <w:tc>
          <w:tcPr>
            <w:tcW w:type="dxa" w:w="216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4"/>
              </w:rPr>
              <w:t>Decision / evidence</w:t>
            </w:r>
          </w:p>
        </w:tc>
        <w:tc>
          <w:tcPr>
            <w:tcW w:type="dxa" w:w="108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4"/>
              </w:rPr>
              <w:t>Owner</w:t>
            </w:r>
          </w:p>
        </w:tc>
        <w:tc>
          <w:tcPr>
            <w:tcW w:type="dxa" w:w="720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4"/>
              </w:rPr>
              <w:t>Date</w:t>
            </w:r>
          </w:p>
        </w:tc>
      </w:tr>
      <w:tr>
        <w:trPr>
          <w:cantSplit/>
        </w:trPr>
        <w:tc>
          <w:tcPr>
            <w:tcW w:type="dxa" w:w="18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Screening and module selection</w:t>
            </w:r>
          </w:p>
        </w:tc>
        <w:tc>
          <w:tcPr>
            <w:tcW w:type="dxa" w:w="21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[Approved / revise]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[Name / role]</w:t>
            </w:r>
          </w:p>
        </w:tc>
        <w:tc>
          <w:tcPr>
            <w:tcW w:type="dxa" w:w="72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[Date]</w:t>
            </w:r>
          </w:p>
        </w:tc>
      </w:tr>
      <w:tr>
        <w:trPr>
          <w:cantSplit/>
        </w:trPr>
        <w:tc>
          <w:tcPr>
            <w:tcW w:type="dxa" w:w="18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Technical plausibility and data quality</w:t>
            </w:r>
          </w:p>
        </w:tc>
        <w:tc>
          <w:tcPr>
            <w:tcW w:type="dxa" w:w="21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[Approved / qualified / reject]</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[Name / role]</w:t>
            </w:r>
          </w:p>
        </w:tc>
        <w:tc>
          <w:tcPr>
            <w:tcW w:type="dxa" w:w="72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[Date]</w:t>
            </w:r>
          </w:p>
        </w:tc>
      </w:tr>
      <w:tr>
        <w:trPr>
          <w:cantSplit/>
        </w:trPr>
        <w:tc>
          <w:tcPr>
            <w:tcW w:type="dxa" w:w="18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Legal, confidentiality and rights review</w:t>
            </w:r>
          </w:p>
        </w:tc>
        <w:tc>
          <w:tcPr>
            <w:tcW w:type="dxa" w:w="21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[Approved / conditions]</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[Name / role]</w:t>
            </w:r>
          </w:p>
        </w:tc>
        <w:tc>
          <w:tcPr>
            <w:tcW w:type="dxa" w:w="72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[Date]</w:t>
            </w:r>
          </w:p>
        </w:tc>
      </w:tr>
      <w:tr>
        <w:trPr>
          <w:cantSplit/>
        </w:trPr>
        <w:tc>
          <w:tcPr>
            <w:tcW w:type="dxa" w:w="180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Procurement decision and improvement plan</w:t>
            </w:r>
          </w:p>
        </w:tc>
        <w:tc>
          <w:tcPr>
            <w:tcW w:type="dxa" w:w="216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[Continue / engage / condition / suspend / collaborate]</w:t>
            </w:r>
          </w:p>
        </w:tc>
        <w:tc>
          <w:tcPr>
            <w:tcW w:type="dxa" w:w="108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[Name / role]</w:t>
            </w:r>
          </w:p>
        </w:tc>
        <w:tc>
          <w:tcPr>
            <w:tcW w:type="dxa" w:w="720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[Date]</w:t>
            </w:r>
          </w:p>
        </w:tc>
      </w:tr>
      <w:tr>
        <w:trPr>
          <w:cantSplit/>
        </w:trPr>
        <w:tc>
          <w:tcPr>
            <w:tcW w:type="dxa" w:w="180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Reporting and claim use</w:t>
            </w:r>
          </w:p>
        </w:tc>
        <w:tc>
          <w:tcPr>
            <w:tcW w:type="dxa" w:w="216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[Permitted wording / limitation / no public use]</w:t>
            </w:r>
          </w:p>
        </w:tc>
        <w:tc>
          <w:tcPr>
            <w:tcW w:type="dxa" w:w="108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[Name / role]</w:t>
            </w:r>
          </w:p>
        </w:tc>
        <w:tc>
          <w:tcPr>
            <w:tcW w:type="dxa" w:w="720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[Date]</w:t>
            </w:r>
          </w:p>
        </w:tc>
      </w:tr>
    </w:tbl>
    <w:p>
      <w:pPr>
        <w:spacing w:after="0"/>
      </w:pPr>
    </w:p>
    <w:p>
      <w:pPr>
        <w:pStyle w:val="Heading2"/>
        <w:keepNext/>
      </w:pPr>
      <w:r>
        <w:t>12. Framework mapping notes</w:t>
      </w:r>
    </w:p>
    <w:tbl>
      <w:tblPr>
        <w:tblStyle w:val="TableGrid"/>
        <w:tblW w:type="auto" w:w="0"/>
        <w:jc w:val="left"/>
        <w:tblLayout w:type="fixed"/>
        <w:tblLook w:firstColumn="1" w:firstRow="1" w:lastColumn="0" w:lastRow="0" w:noHBand="0" w:noVBand="1" w:val="04A0"/>
      </w:tblPr>
      <w:tblGrid>
        <w:gridCol w:w="3907"/>
        <w:gridCol w:w="3907"/>
        <w:gridCol w:w="3907"/>
        <w:gridCol w:w="3907"/>
      </w:tblGrid>
      <w:tr>
        <w:trPr>
          <w:tblHeader w:val="true"/>
          <w:cantSplit/>
        </w:trPr>
        <w:tc>
          <w:tcPr>
            <w:tcW w:type="dxa" w:w="118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4"/>
              </w:rPr>
              <w:t>Data family</w:t>
            </w:r>
          </w:p>
        </w:tc>
        <w:tc>
          <w:tcPr>
            <w:tcW w:type="dxa" w:w="154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4"/>
              </w:rPr>
              <w:t>TNFD</w:t>
            </w:r>
          </w:p>
        </w:tc>
        <w:tc>
          <w:tcPr>
            <w:tcW w:type="dxa" w:w="154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4"/>
              </w:rPr>
              <w:t>GRI 101</w:t>
            </w:r>
          </w:p>
        </w:tc>
        <w:tc>
          <w:tcPr>
            <w:tcW w:type="dxa" w:w="1548000"/>
            <w:vAlign w:val="center"/>
            <w:shd w:fill="173F73"/>
            <w:tcBorders>
              <w:top w:val="single" w:sz="3" w:color="AAB7C4"/>
              <w:left w:val="single" w:sz="3" w:color="AAB7C4"/>
              <w:bottom w:val="single" w:sz="3" w:color="AAB7C4"/>
              <w:right w:val="single" w:sz="3" w:color="AAB7C4"/>
            </w:tcBorders>
          </w:tcPr>
          <w:p>
            <w:pPr>
              <w:spacing w:before="0" w:after="0" w:line="240" w:lineRule="auto"/>
            </w:pPr>
            <w:r>
              <w:rPr>
                <w:rFonts w:ascii="Arial" w:hAnsi="Arial"/>
                <w:b/>
                <w:color w:val="FFFFFF"/>
                <w:sz w:val="14"/>
              </w:rPr>
              <w:t>ESRS caution</w:t>
            </w:r>
          </w:p>
        </w:tc>
      </w:tr>
      <w:tr>
        <w:trPr>
          <w:cantSplit/>
        </w:trPr>
        <w:tc>
          <w:tcPr>
            <w:tcW w:type="dxa" w:w="11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Activity, commodity and location</w:t>
            </w:r>
          </w:p>
        </w:tc>
        <w:tc>
          <w:tcPr>
            <w:tcW w:type="dxa" w:w="15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Locate, priority and sensitive-location assessment.</w:t>
            </w:r>
          </w:p>
        </w:tc>
        <w:tc>
          <w:tcPr>
            <w:tcW w:type="dxa" w:w="15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Sites and supply-chain products and services with significant impacts.</w:t>
            </w:r>
          </w:p>
        </w:tc>
        <w:tc>
          <w:tcPr>
            <w:tcW w:type="dxa" w:w="15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Map only to the legally applicable ESRS version and entity materiality conclusions.</w:t>
            </w:r>
          </w:p>
        </w:tc>
      </w:tr>
      <w:tr>
        <w:trPr>
          <w:cantSplit/>
        </w:trPr>
        <w:tc>
          <w:tcPr>
            <w:tcW w:type="dxa" w:w="11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Dependencies, impacts and state</w:t>
            </w:r>
          </w:p>
        </w:tc>
        <w:tc>
          <w:tcPr>
            <w:tcW w:type="dxa" w:w="15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Evaluate and DIRO pathway.</w:t>
            </w:r>
          </w:p>
        </w:tc>
        <w:tc>
          <w:tcPr>
            <w:tcW w:type="dxa" w:w="15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Direct drivers, changes to biodiversity and ecosystem services.</w:t>
            </w:r>
          </w:p>
        </w:tc>
        <w:tc>
          <w:tcPr>
            <w:tcW w:type="dxa" w:w="15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Common evidence does not itself establish double materiality.</w:t>
            </w:r>
          </w:p>
        </w:tc>
      </w:tr>
      <w:tr>
        <w:trPr>
          <w:cantSplit/>
        </w:trPr>
        <w:tc>
          <w:tcPr>
            <w:tcW w:type="dxa" w:w="118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Controls, incidents and engagement</w:t>
            </w:r>
          </w:p>
        </w:tc>
        <w:tc>
          <w:tcPr>
            <w:tcW w:type="dxa" w:w="15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Risk and impact management, Governance C and responses.</w:t>
            </w:r>
          </w:p>
        </w:tc>
        <w:tc>
          <w:tcPr>
            <w:tcW w:type="dxa" w:w="15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Management of impacts and stakeholder evidence.</w:t>
            </w:r>
          </w:p>
        </w:tc>
        <w:tc>
          <w:tcPr>
            <w:tcW w:type="dxa" w:w="1548000"/>
            <w:vAlign w:val="center"/>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Legal, value-chain and datapoint requirements remain framework-specific.</w:t>
            </w:r>
          </w:p>
        </w:tc>
      </w:tr>
      <w:tr>
        <w:trPr>
          <w:cantSplit/>
        </w:trPr>
        <w:tc>
          <w:tcPr>
            <w:tcW w:type="dxa" w:w="118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Metrics, targets and data limitations</w:t>
            </w:r>
          </w:p>
        </w:tc>
        <w:tc>
          <w:tcPr>
            <w:tcW w:type="dxa" w:w="15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Metrics and Targets and disclosure limitations.</w:t>
            </w:r>
          </w:p>
        </w:tc>
        <w:tc>
          <w:tcPr>
            <w:tcW w:type="dxa" w:w="15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Primary, secondary or modelled data and limitations.</w:t>
            </w:r>
          </w:p>
        </w:tc>
        <w:tc>
          <w:tcPr>
            <w:tcW w:type="dxa" w:w="1548000"/>
            <w:vAlign w:val="center"/>
            <w:shd w:fill="F4F6F8"/>
            <w:tcBorders>
              <w:top w:val="single" w:sz="3" w:color="AAB7C4"/>
              <w:left w:val="single" w:sz="3" w:color="AAB7C4"/>
              <w:bottom w:val="single" w:sz="3" w:color="AAB7C4"/>
              <w:right w:val="single" w:sz="3" w:color="AAB7C4"/>
            </w:tcBorders>
          </w:tcPr>
          <w:p>
            <w:pPr>
              <w:spacing w:before="0" w:after="0" w:line="240" w:lineRule="auto"/>
            </w:pPr>
            <w:r>
              <w:rPr>
                <w:rFonts w:ascii="Arial" w:hAnsi="Arial"/>
                <w:sz w:val="14"/>
              </w:rPr>
              <w:t>Check reporting period, transitional provisions and in-force status.</w:t>
            </w:r>
          </w:p>
        </w:tc>
      </w:tr>
    </w:tbl>
    <w:p>
      <w:pPr>
        <w:spacing w:after="0"/>
      </w:pPr>
    </w:p>
    <w:p>
      <w:pPr>
        <w:pStyle w:val="Heading2"/>
        <w:keepNext/>
      </w:pPr>
      <w:r>
        <w:t>13. Tool status and limitations</w:t>
      </w:r>
    </w:p>
    <w:p>
      <w:pPr/>
      <w:r>
        <w:t>Version 1.0. Reviewed 3 August 2026. This template is an LRA educational and implementation aid. It is not an official TNFD, GRI or ESRS questionnaire and does not establish supplier or buyer compliance. Adapt it to sector, location, contractual rights, applicable law, procurement policy, data protection, competition law, human-rights due diligence and the reporting period.</w:t>
      </w:r>
    </w:p>
    <w:sectPr w:rsidR="00FC693F" w:rsidRPr="0006063C" w:rsidSect="00034616">
      <w:headerReference w:type="default" r:id="rId9"/>
      <w:footerReference w:type="default" r:id="rId10"/>
      <w:headerReference w:type="first" r:id="rId22"/>
      <w:footerReference w:type="first" r:id="rId23"/>
      <w:pgSz w:w="16838" w:h="11906" w:orient="landscape"/>
      <w:pgMar w:top="749" w:right="605" w:bottom="749" w:left="605" w:header="198" w:footer="19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6B7280"/>
        <w:sz w:val="13"/>
      </w:rPr>
      <w:t xml:space="preserve">TNFD-SUP-TOOL-001  |  Reviewed 3 August 2026  |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b/>
        <w:color w:val="173F73"/>
        <w:sz w:val="13"/>
      </w:rPr>
      <w:t>LONDON REPORTING ACADEMY  ·  KNOWLEDGE HUB  ·  TNFD SUPPLIER TOOL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59" w:lineRule="auto"/>
    </w:pPr>
    <w:rPr>
      <w:rFonts w:ascii="Arial" w:hAnsi="Arial"/>
      <w:color w:val="20293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b/>
      <w:bCs/>
      <w:color w:val="0D3068"/>
      <w:sz w:val="3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14396D"/>
      <w:sz w:val="3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b/>
      <w:bCs/>
      <w:color w:val="14396D"/>
      <w:sz w:val="25"/>
    </w:rPr>
  </w:style>
  <w:style w:type="paragraph" w:styleId="Heading4">
    <w:name w:val="heading 4"/>
    <w:basedOn w:val="Normal"/>
    <w:next w:val="Normal"/>
    <w:link w:val="Heading4Char"/>
    <w:uiPriority w:val="9"/>
    <w:semiHidden/>
    <w:unhideWhenUsed/>
    <w:qFormat/>
    <w:rsid w:val="00FC693F"/>
    <w:pPr>
      <w:keepNext/>
      <w:keepLines/>
      <w:spacing w:before="200" w:after="80"/>
      <w:outlineLvl w:val="3"/>
    </w:pPr>
    <w:rPr>
      <w:rFonts w:asciiTheme="majorHAnsi" w:eastAsiaTheme="majorEastAsia" w:hAnsiTheme="majorHAnsi" w:cstheme="majorBidi" w:ascii="Arial" w:hAnsi="Arial"/>
      <w:b/>
      <w:bCs/>
      <w:i/>
      <w:iCs/>
      <w:color w:val="2F7DBD"/>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0"/>
      <w:contextualSpacing/>
    </w:pPr>
    <w:rPr>
      <w:rFonts w:asciiTheme="majorHAnsi" w:eastAsiaTheme="majorEastAsia" w:hAnsiTheme="majorHAnsi" w:cstheme="majorBidi" w:ascii="Arial" w:hAnsi="Arial"/>
      <w:b/>
      <w:color w:val="14396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rial" w:hAnsi="Arial"/>
      <w:b w:val="0"/>
      <w:i/>
      <w:iCs/>
      <w:color w:val="5D6978"/>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Arial" w:hAnsi="Arial"/>
      <w:color w:val="202936"/>
      <w:sz w:val="20"/>
    </w:rPr>
  </w:style>
  <w:style w:type="paragraph" w:styleId="ListBullet2">
    <w:name w:val="List Bullet 2"/>
    <w:basedOn w:val="Normal"/>
    <w:uiPriority w:val="99"/>
    <w:unhideWhenUsed/>
    <w:rsid w:val="00326F90"/>
    <w:pPr>
      <w:numPr>
        <w:numId w:val="2"/>
      </w:numPr>
      <w:spacing w:after="60"/>
      <w:contextualSpacing/>
    </w:pPr>
    <w:rPr>
      <w:rFonts w:ascii="Arial" w:hAnsi="Arial"/>
      <w:color w:val="202936"/>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contextualSpacing/>
    </w:pPr>
    <w:rPr>
      <w:rFonts w:ascii="Arial" w:hAnsi="Arial"/>
      <w:color w:val="202936"/>
      <w:sz w:val="20"/>
    </w:rPr>
  </w:style>
  <w:style w:type="paragraph" w:styleId="ListNumber2">
    <w:name w:val="List Number 2"/>
    <w:basedOn w:val="Normal"/>
    <w:uiPriority w:val="99"/>
    <w:unhideWhenUsed/>
    <w:rsid w:val="0029639D"/>
    <w:pPr>
      <w:numPr>
        <w:numId w:val="6"/>
      </w:numPr>
      <w:spacing w:after="60"/>
      <w:contextualSpacing/>
    </w:pPr>
    <w:rPr>
      <w:rFonts w:ascii="Arial" w:hAnsi="Arial"/>
      <w:color w:val="202936"/>
      <w:sz w:val="20"/>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RACaption">
    <w:name w:val="LRA Caption"/>
    <w:pPr>
      <w:keepNext w:val="0"/>
      <w:spacing w:after="140"/>
    </w:pPr>
    <w:rPr>
      <w:rFonts w:ascii="Arial" w:hAnsi="Arial"/>
      <w:i/>
      <w:color w:val="5D6978"/>
      <w:sz w:val="17"/>
    </w:rPr>
  </w:style>
  <w:style w:type="paragraph" w:customStyle="1" w:styleId="LRAAnswer">
    <w:name w:val="LRA Answer"/>
    <w:basedOn w:val="Normal"/>
    <w:pPr>
      <w:spacing w:after="100" w:line="259" w:lineRule="auto"/>
    </w:pPr>
    <w:rPr>
      <w:rFonts w:ascii="Arial" w:hAnsi="Arial"/>
      <w:b w:val="0"/>
      <w:color w:val="202936"/>
      <w:sz w:val="21"/>
    </w:rPr>
  </w:style>
  <w:style w:type="paragraph" w:customStyle="1" w:styleId="LRASmall">
    <w:name w:val="LRA Small"/>
    <w:basedOn w:val="Normal"/>
    <w:pPr>
      <w:spacing w:after="60"/>
    </w:pPr>
    <w:rPr>
      <w:rFonts w:ascii="Arial" w:hAnsi="Arial"/>
      <w:color w:val="5D6978"/>
      <w:sz w:val="17"/>
    </w:rPr>
  </w:style>
  <w:style w:type="paragraph" w:customStyle="1" w:styleId="LRASource">
    <w:name w:val="LRA Source"/>
    <w:basedOn w:val="Normal"/>
    <w:pPr>
      <w:spacing w:after="80"/>
      <w:ind w:left="259" w:hanging="259"/>
    </w:pPr>
    <w:rPr>
      <w:rFonts w:ascii="Arial" w:hAnsi="Arial"/>
      <w:color w:val="202936"/>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22" Type="http://schemas.openxmlformats.org/officeDocument/2006/relationships/header" Target="header2.xml"/><Relationship Id="rId23" Type="http://schemas.openxmlformats.org/officeDocument/2006/relationships/footer" Target="footer2.xml"/><Relationship Id="rId3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TNFD Supplier Nature Data Questionnaire and Evidence Matrix</dc:title>
  <dc:subject>Editable supplier nature-data questionnaire, evidence matrix, confidentiality controls and improvement plan.</dc:subject>
  <dc:creator>London Reporting Academy</dc:creator>
  <cp:keywords>TNFD, nature-related disclosure, LEAP, sector guidance, London Reporting Academy</cp:keywords>
  <dc:description>Prepared and reviewed to source set current at 3 August 2026.</dc:description>
  <cp:lastModifiedBy>London Reporting Academy</cp:lastModifiedBy>
  <cp:revision>1</cp:revision>
  <dcterms:created xsi:type="dcterms:W3CDTF">2013-12-23T23:15:00Z</dcterms:created>
  <dcterms:modified xsi:type="dcterms:W3CDTF">2013-12-23T23:15:00Z</dcterms:modified>
  <cp:category/>
</cp:coreProperties>
</file>