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2331720" cy="1399032"/>
            <wp:docPr id="1" name="Picture 1" title="London Reporting Academy logo" descr="London Reporting Academy brand logo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331720" cy="139903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ubtitle"/>
      </w:pPr>
      <w:r>
        <w:t>LRA KNOWLEDGE HUB  ·  TNFD</w:t>
      </w:r>
    </w:p>
    <w:p>
      <w:pPr>
        <w:pStyle w:val="Title"/>
      </w:pPr>
      <w:r>
        <w:t>TNFD DIRO, Financial Effects and Disclosure Working Toolkit</w:t>
      </w:r>
    </w:p>
    <w:p>
      <w:pPr>
        <w:pStyle w:val="Subtitle"/>
      </w:pPr>
      <w:r>
        <w:t>Editable starter registers for risk, opportunity, finance, Governance A-C and Strategy A-D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5628"/>
      </w:tblGrid>
      <w:tr>
        <w:tc>
          <w:tcPr>
            <w:tcW w:type="dxa" w:w="10036"/>
            <w:shd w:fill="FFF4D6"/>
            <w:tcMar>
              <w:top w:w="130" w:type="dxa"/>
              <w:start w:w="150" w:type="dxa"/>
              <w:bottom w:w="130" w:type="dxa"/>
              <w:end w:w="150" w:type="dxa"/>
            </w:tcMar>
            <w:tcBorders>
              <w:top w:val="single" w:sz="4" w:color="8C6B18"/>
              <w:left w:val="single" w:sz="10" w:color="8C6B18"/>
              <w:bottom w:val="single" w:sz="4" w:color="8C6B18"/>
              <w:right w:val="single" w:sz="4" w:color="8C6B18"/>
            </w:tcBorders>
          </w:tcPr>
          <w:p>
            <w:pPr>
              <w:keepLines/>
              <w:spacing w:before="0" w:after="0" w:line="259" w:lineRule="auto"/>
            </w:pPr>
            <w:r>
              <w:rPr>
                <w:rFonts w:ascii="Arial" w:hAnsi="Arial"/>
                <w:b/>
                <w:color w:val="8C6B18"/>
                <w:sz w:val="22"/>
              </w:rPr>
              <w:t>Use of this toolkit</w:t>
              <w:br/>
            </w:r>
            <w:r>
              <w:rPr>
                <w:rFonts w:ascii="Arial" w:hAnsi="Arial"/>
                <w:color w:val="202936"/>
                <w:sz w:val="20"/>
              </w:rPr>
              <w:t>These blank tables are implementation aids, not TNFD-prescribed templates. Adapt the fields, assessment scales, ownership, controls and approval routes to the organisation’s business model, value chain, materiality approach and reporting architecture.</w:t>
            </w:r>
          </w:p>
        </w:tc>
      </w:tr>
    </w:tbl>
    <w:p>
      <w:pPr>
        <w:spacing w:before="0" w:after="20" w:line="259" w:lineRule="auto"/>
      </w:pPr>
    </w:p>
    <w:p>
      <w:r>
        <w:br w:type="page"/>
      </w:r>
    </w:p>
    <w:p>
      <w:pPr>
        <w:pStyle w:val="Heading1"/>
        <w:keepNext/>
        <w:spacing w:before="120" w:after="60" w:line="259" w:lineRule="auto"/>
      </w:pPr>
      <w:r>
        <w:t>1. Nature-related risk register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736"/>
        <w:gridCol w:w="1736"/>
        <w:gridCol w:w="1736"/>
        <w:gridCol w:w="1736"/>
        <w:gridCol w:w="1736"/>
        <w:gridCol w:w="1736"/>
        <w:gridCol w:w="1736"/>
        <w:gridCol w:w="1736"/>
        <w:gridCol w:w="1736"/>
      </w:tblGrid>
      <w:tr>
        <w:trPr>
          <w:tblHeader w:val="true"/>
          <w:cantSplit/>
        </w:trPr>
        <w:tc>
          <w:tcPr>
            <w:tcW w:type="dxa" w:w="720"/>
            <w:shd w:fill="0D3068"/>
            <w:vAlign w:val="center"/>
            <w:tcMar>
              <w:top w:w="75" w:type="dxa"/>
              <w:start w:w="85" w:type="dxa"/>
              <w:bottom w:w="7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/>
                <w:color w:val="FFFFFF"/>
                <w:sz w:val="16"/>
              </w:rPr>
              <w:t>Risk ID</w:t>
            </w:r>
          </w:p>
        </w:tc>
        <w:tc>
          <w:tcPr>
            <w:tcW w:type="dxa" w:w="1224"/>
            <w:shd w:fill="0D3068"/>
            <w:vAlign w:val="center"/>
            <w:tcMar>
              <w:top w:w="75" w:type="dxa"/>
              <w:start w:w="85" w:type="dxa"/>
              <w:bottom w:w="7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/>
                <w:color w:val="FFFFFF"/>
                <w:sz w:val="16"/>
              </w:rPr>
              <w:t>Dependency / impact pathway</w:t>
            </w:r>
          </w:p>
        </w:tc>
        <w:tc>
          <w:tcPr>
            <w:tcW w:type="dxa" w:w="1080"/>
            <w:shd w:fill="0D3068"/>
            <w:vAlign w:val="center"/>
            <w:tcMar>
              <w:top w:w="75" w:type="dxa"/>
              <w:start w:w="85" w:type="dxa"/>
              <w:bottom w:w="7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/>
                <w:color w:val="FFFFFF"/>
                <w:sz w:val="16"/>
              </w:rPr>
              <w:t>Location / value-chain stage</w:t>
            </w:r>
          </w:p>
        </w:tc>
        <w:tc>
          <w:tcPr>
            <w:tcW w:type="dxa" w:w="1152"/>
            <w:shd w:fill="0D3068"/>
            <w:vAlign w:val="center"/>
            <w:tcMar>
              <w:top w:w="75" w:type="dxa"/>
              <w:start w:w="85" w:type="dxa"/>
              <w:bottom w:w="7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/>
                <w:color w:val="FFFFFF"/>
                <w:sz w:val="16"/>
              </w:rPr>
              <w:t>Risk category / subcategory</w:t>
            </w:r>
          </w:p>
        </w:tc>
        <w:tc>
          <w:tcPr>
            <w:tcW w:type="dxa" w:w="1080"/>
            <w:shd w:fill="0D3068"/>
            <w:vAlign w:val="center"/>
            <w:tcMar>
              <w:top w:w="75" w:type="dxa"/>
              <w:start w:w="85" w:type="dxa"/>
              <w:bottom w:w="7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/>
                <w:color w:val="FFFFFF"/>
                <w:sz w:val="16"/>
              </w:rPr>
              <w:t>Trigger / time horizon</w:t>
            </w:r>
          </w:p>
        </w:tc>
        <w:tc>
          <w:tcPr>
            <w:tcW w:type="dxa" w:w="1152"/>
            <w:shd w:fill="0D3068"/>
            <w:vAlign w:val="center"/>
            <w:tcMar>
              <w:top w:w="75" w:type="dxa"/>
              <w:start w:w="85" w:type="dxa"/>
              <w:bottom w:w="7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/>
                <w:color w:val="FFFFFF"/>
                <w:sz w:val="16"/>
              </w:rPr>
              <w:t>Business consequence</w:t>
            </w:r>
          </w:p>
        </w:tc>
        <w:tc>
          <w:tcPr>
            <w:tcW w:type="dxa" w:w="1152"/>
            <w:shd w:fill="0D3068"/>
            <w:vAlign w:val="center"/>
            <w:tcMar>
              <w:top w:w="75" w:type="dxa"/>
              <w:start w:w="85" w:type="dxa"/>
              <w:bottom w:w="7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/>
                <w:color w:val="FFFFFF"/>
                <w:sz w:val="16"/>
              </w:rPr>
              <w:t>Financial-effect channel</w:t>
            </w:r>
          </w:p>
        </w:tc>
        <w:tc>
          <w:tcPr>
            <w:tcW w:type="dxa" w:w="1224"/>
            <w:shd w:fill="0D3068"/>
            <w:vAlign w:val="center"/>
            <w:tcMar>
              <w:top w:w="75" w:type="dxa"/>
              <w:start w:w="85" w:type="dxa"/>
              <w:bottom w:w="7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/>
                <w:color w:val="FFFFFF"/>
                <w:sz w:val="16"/>
              </w:rPr>
              <w:t>Controls / residual exposure</w:t>
            </w:r>
          </w:p>
        </w:tc>
        <w:tc>
          <w:tcPr>
            <w:tcW w:type="dxa" w:w="1080"/>
            <w:shd w:fill="0D3068"/>
            <w:vAlign w:val="center"/>
            <w:tcMar>
              <w:top w:w="75" w:type="dxa"/>
              <w:start w:w="85" w:type="dxa"/>
              <w:bottom w:w="7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/>
                <w:color w:val="FFFFFF"/>
                <w:sz w:val="16"/>
              </w:rPr>
              <w:t>Owner / status</w:t>
            </w:r>
          </w:p>
        </w:tc>
      </w:tr>
      <w:tr>
        <w:trPr>
          <w:cantSplit/>
        </w:trPr>
        <w:tc>
          <w:tcPr>
            <w:tcW w:type="dxa" w:w="720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224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080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152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080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152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152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224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080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</w:tr>
      <w:tr>
        <w:trPr>
          <w:cantSplit/>
        </w:trPr>
        <w:tc>
          <w:tcPr>
            <w:tcW w:type="dxa" w:w="720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224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080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152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080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152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152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224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080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</w:tr>
      <w:tr>
        <w:trPr>
          <w:cantSplit/>
        </w:trPr>
        <w:tc>
          <w:tcPr>
            <w:tcW w:type="dxa" w:w="720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224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080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152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080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152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152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224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080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</w:tr>
      <w:tr>
        <w:trPr>
          <w:cantSplit/>
        </w:trPr>
        <w:tc>
          <w:tcPr>
            <w:tcW w:type="dxa" w:w="720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224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080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152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080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152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152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224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080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</w:tr>
      <w:tr>
        <w:trPr>
          <w:cantSplit/>
        </w:trPr>
        <w:tc>
          <w:tcPr>
            <w:tcW w:type="dxa" w:w="720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224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080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152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080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152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152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224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080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</w:tr>
      <w:tr>
        <w:trPr>
          <w:cantSplit/>
        </w:trPr>
        <w:tc>
          <w:tcPr>
            <w:tcW w:type="dxa" w:w="720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224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080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152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080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152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152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224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080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</w:tr>
      <w:tr>
        <w:trPr>
          <w:cantSplit/>
        </w:trPr>
        <w:tc>
          <w:tcPr>
            <w:tcW w:type="dxa" w:w="720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224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080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152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080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152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152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224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080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</w:tr>
      <w:tr>
        <w:trPr>
          <w:cantSplit/>
        </w:trPr>
        <w:tc>
          <w:tcPr>
            <w:tcW w:type="dxa" w:w="720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224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080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152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080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152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152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224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080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</w:tr>
    </w:tbl>
    <w:p>
      <w:pPr>
        <w:spacing w:before="0" w:after="20" w:line="259" w:lineRule="auto"/>
      </w:pPr>
    </w:p>
    <w:p>
      <w:pPr>
        <w:pStyle w:val="Heading1"/>
        <w:keepNext/>
        <w:spacing w:before="120" w:after="60" w:line="259" w:lineRule="auto"/>
      </w:pPr>
      <w:r>
        <w:t>2. Nature-related opportunity register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3"/>
        <w:gridCol w:w="1953"/>
        <w:gridCol w:w="1953"/>
        <w:gridCol w:w="1953"/>
        <w:gridCol w:w="1953"/>
        <w:gridCol w:w="1953"/>
        <w:gridCol w:w="1953"/>
        <w:gridCol w:w="1953"/>
      </w:tblGrid>
      <w:tr>
        <w:trPr>
          <w:tblHeader w:val="true"/>
          <w:cantSplit/>
        </w:trPr>
        <w:tc>
          <w:tcPr>
            <w:tcW w:type="dxa" w:w="792"/>
            <w:shd w:fill="0D3068"/>
            <w:vAlign w:val="center"/>
            <w:tcMar>
              <w:top w:w="75" w:type="dxa"/>
              <w:start w:w="85" w:type="dxa"/>
              <w:bottom w:w="7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/>
                <w:color w:val="FFFFFF"/>
                <w:sz w:val="16"/>
              </w:rPr>
              <w:t>Opportunity ID</w:t>
            </w:r>
          </w:p>
        </w:tc>
        <w:tc>
          <w:tcPr>
            <w:tcW w:type="dxa" w:w="1296"/>
            <w:shd w:fill="0D3068"/>
            <w:vAlign w:val="center"/>
            <w:tcMar>
              <w:top w:w="75" w:type="dxa"/>
              <w:start w:w="85" w:type="dxa"/>
              <w:bottom w:w="7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/>
                <w:color w:val="FFFFFF"/>
                <w:sz w:val="16"/>
              </w:rPr>
              <w:t>DIRO / need addressed</w:t>
            </w:r>
          </w:p>
        </w:tc>
        <w:tc>
          <w:tcPr>
            <w:tcW w:type="dxa" w:w="1368"/>
            <w:shd w:fill="0D3068"/>
            <w:vAlign w:val="center"/>
            <w:tcMar>
              <w:top w:w="75" w:type="dxa"/>
              <w:start w:w="85" w:type="dxa"/>
              <w:bottom w:w="7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/>
                <w:color w:val="FFFFFF"/>
                <w:sz w:val="16"/>
              </w:rPr>
              <w:t>Action / product / solution</w:t>
            </w:r>
          </w:p>
        </w:tc>
        <w:tc>
          <w:tcPr>
            <w:tcW w:type="dxa" w:w="1224"/>
            <w:shd w:fill="0D3068"/>
            <w:vAlign w:val="center"/>
            <w:tcMar>
              <w:top w:w="75" w:type="dxa"/>
              <w:start w:w="85" w:type="dxa"/>
              <w:bottom w:w="7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/>
                <w:color w:val="FFFFFF"/>
                <w:sz w:val="16"/>
              </w:rPr>
              <w:t>Business benefit</w:t>
            </w:r>
          </w:p>
        </w:tc>
        <w:tc>
          <w:tcPr>
            <w:tcW w:type="dxa" w:w="1368"/>
            <w:shd w:fill="0D3068"/>
            <w:vAlign w:val="center"/>
            <w:tcMar>
              <w:top w:w="75" w:type="dxa"/>
              <w:start w:w="85" w:type="dxa"/>
              <w:bottom w:w="7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/>
                <w:color w:val="FFFFFF"/>
                <w:sz w:val="16"/>
              </w:rPr>
              <w:t>Nature outcome / metric</w:t>
            </w:r>
          </w:p>
        </w:tc>
        <w:tc>
          <w:tcPr>
            <w:tcW w:type="dxa" w:w="1152"/>
            <w:shd w:fill="0D3068"/>
            <w:vAlign w:val="center"/>
            <w:tcMar>
              <w:top w:w="75" w:type="dxa"/>
              <w:start w:w="85" w:type="dxa"/>
              <w:bottom w:w="7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/>
                <w:color w:val="FFFFFF"/>
                <w:sz w:val="16"/>
              </w:rPr>
              <w:t>Investment / owner</w:t>
            </w:r>
          </w:p>
        </w:tc>
        <w:tc>
          <w:tcPr>
            <w:tcW w:type="dxa" w:w="1368"/>
            <w:shd w:fill="0D3068"/>
            <w:vAlign w:val="center"/>
            <w:tcMar>
              <w:top w:w="75" w:type="dxa"/>
              <w:start w:w="85" w:type="dxa"/>
              <w:bottom w:w="7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/>
                <w:color w:val="FFFFFF"/>
                <w:sz w:val="16"/>
              </w:rPr>
              <w:t>Dependency / trade-off test</w:t>
            </w:r>
          </w:p>
        </w:tc>
        <w:tc>
          <w:tcPr>
            <w:tcW w:type="dxa" w:w="1296"/>
            <w:shd w:fill="0D3068"/>
            <w:vAlign w:val="center"/>
            <w:tcMar>
              <w:top w:w="75" w:type="dxa"/>
              <w:start w:w="85" w:type="dxa"/>
              <w:bottom w:w="7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/>
                <w:color w:val="FFFFFF"/>
                <w:sz w:val="16"/>
              </w:rPr>
              <w:t>Evidence / claim status</w:t>
            </w:r>
          </w:p>
        </w:tc>
      </w:tr>
      <w:tr>
        <w:trPr>
          <w:cantSplit/>
        </w:trPr>
        <w:tc>
          <w:tcPr>
            <w:tcW w:type="dxa" w:w="792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296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368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224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368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152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368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296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</w:tr>
      <w:tr>
        <w:trPr>
          <w:cantSplit/>
        </w:trPr>
        <w:tc>
          <w:tcPr>
            <w:tcW w:type="dxa" w:w="792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296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368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224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368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152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368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296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</w:tr>
      <w:tr>
        <w:trPr>
          <w:cantSplit/>
        </w:trPr>
        <w:tc>
          <w:tcPr>
            <w:tcW w:type="dxa" w:w="792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296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368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224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368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152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368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296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</w:tr>
      <w:tr>
        <w:trPr>
          <w:cantSplit/>
        </w:trPr>
        <w:tc>
          <w:tcPr>
            <w:tcW w:type="dxa" w:w="792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296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368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224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368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152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368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296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</w:tr>
      <w:tr>
        <w:trPr>
          <w:cantSplit/>
        </w:trPr>
        <w:tc>
          <w:tcPr>
            <w:tcW w:type="dxa" w:w="792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296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368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224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368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152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368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296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</w:tr>
      <w:tr>
        <w:trPr>
          <w:cantSplit/>
        </w:trPr>
        <w:tc>
          <w:tcPr>
            <w:tcW w:type="dxa" w:w="792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296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368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224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368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152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368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296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</w:tr>
      <w:tr>
        <w:trPr>
          <w:cantSplit/>
        </w:trPr>
        <w:tc>
          <w:tcPr>
            <w:tcW w:type="dxa" w:w="792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296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368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224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368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152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368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296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</w:tr>
      <w:tr>
        <w:trPr>
          <w:cantSplit/>
        </w:trPr>
        <w:tc>
          <w:tcPr>
            <w:tcW w:type="dxa" w:w="792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296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368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224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368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152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368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296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</w:tr>
    </w:tbl>
    <w:p>
      <w:pPr>
        <w:spacing w:before="0" w:after="20" w:line="259" w:lineRule="auto"/>
      </w:pPr>
    </w:p>
    <w:p>
      <w:pPr>
        <w:pStyle w:val="Heading1"/>
        <w:keepNext/>
        <w:spacing w:before="120" w:after="60" w:line="259" w:lineRule="auto"/>
      </w:pPr>
      <w:r>
        <w:t>3. Financial-effects bridge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736"/>
        <w:gridCol w:w="1736"/>
        <w:gridCol w:w="1736"/>
        <w:gridCol w:w="1736"/>
        <w:gridCol w:w="1736"/>
        <w:gridCol w:w="1736"/>
        <w:gridCol w:w="1736"/>
        <w:gridCol w:w="1736"/>
        <w:gridCol w:w="1736"/>
      </w:tblGrid>
      <w:tr>
        <w:trPr>
          <w:tblHeader w:val="true"/>
          <w:cantSplit/>
        </w:trPr>
        <w:tc>
          <w:tcPr>
            <w:tcW w:type="dxa" w:w="720"/>
            <w:shd w:fill="0D3068"/>
            <w:vAlign w:val="center"/>
            <w:tcMar>
              <w:top w:w="75" w:type="dxa"/>
              <w:start w:w="85" w:type="dxa"/>
              <w:bottom w:w="7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/>
                <w:color w:val="FFFFFF"/>
                <w:sz w:val="16"/>
              </w:rPr>
              <w:t>Issue ID</w:t>
            </w:r>
          </w:p>
        </w:tc>
        <w:tc>
          <w:tcPr>
            <w:tcW w:type="dxa" w:w="1224"/>
            <w:shd w:fill="0D3068"/>
            <w:vAlign w:val="center"/>
            <w:tcMar>
              <w:top w:w="75" w:type="dxa"/>
              <w:start w:w="85" w:type="dxa"/>
              <w:bottom w:w="7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/>
                <w:color w:val="FFFFFF"/>
                <w:sz w:val="16"/>
              </w:rPr>
              <w:t>Operational transmission</w:t>
            </w:r>
          </w:p>
        </w:tc>
        <w:tc>
          <w:tcPr>
            <w:tcW w:type="dxa" w:w="1080"/>
            <w:shd w:fill="0D3068"/>
            <w:vAlign w:val="center"/>
            <w:tcMar>
              <w:top w:w="75" w:type="dxa"/>
              <w:start w:w="85" w:type="dxa"/>
              <w:bottom w:w="7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/>
                <w:color w:val="FFFFFF"/>
                <w:sz w:val="16"/>
              </w:rPr>
              <w:t>Revenue / demand</w:t>
            </w:r>
          </w:p>
        </w:tc>
        <w:tc>
          <w:tcPr>
            <w:tcW w:type="dxa" w:w="1152"/>
            <w:shd w:fill="0D3068"/>
            <w:vAlign w:val="center"/>
            <w:tcMar>
              <w:top w:w="75" w:type="dxa"/>
              <w:start w:w="85" w:type="dxa"/>
              <w:bottom w:w="7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/>
                <w:color w:val="FFFFFF"/>
                <w:sz w:val="16"/>
              </w:rPr>
              <w:t>Operating cost / inputs</w:t>
            </w:r>
          </w:p>
        </w:tc>
        <w:tc>
          <w:tcPr>
            <w:tcW w:type="dxa" w:w="1152"/>
            <w:shd w:fill="0D3068"/>
            <w:vAlign w:val="center"/>
            <w:tcMar>
              <w:top w:w="75" w:type="dxa"/>
              <w:start w:w="85" w:type="dxa"/>
              <w:bottom w:w="7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/>
                <w:color w:val="FFFFFF"/>
                <w:sz w:val="16"/>
              </w:rPr>
              <w:t>Capex / asset values</w:t>
            </w:r>
          </w:p>
        </w:tc>
        <w:tc>
          <w:tcPr>
            <w:tcW w:type="dxa" w:w="1152"/>
            <w:shd w:fill="0D3068"/>
            <w:vAlign w:val="center"/>
            <w:tcMar>
              <w:top w:w="75" w:type="dxa"/>
              <w:start w:w="85" w:type="dxa"/>
              <w:bottom w:w="7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/>
                <w:color w:val="FFFFFF"/>
                <w:sz w:val="16"/>
              </w:rPr>
              <w:t>Liability / insurance</w:t>
            </w:r>
          </w:p>
        </w:tc>
        <w:tc>
          <w:tcPr>
            <w:tcW w:type="dxa" w:w="1152"/>
            <w:shd w:fill="0D3068"/>
            <w:vAlign w:val="center"/>
            <w:tcMar>
              <w:top w:w="75" w:type="dxa"/>
              <w:start w:w="85" w:type="dxa"/>
              <w:bottom w:w="7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/>
                <w:color w:val="FFFFFF"/>
                <w:sz w:val="16"/>
              </w:rPr>
              <w:t>Cash flow / financing</w:t>
            </w:r>
          </w:p>
        </w:tc>
        <w:tc>
          <w:tcPr>
            <w:tcW w:type="dxa" w:w="1296"/>
            <w:shd w:fill="0D3068"/>
            <w:vAlign w:val="center"/>
            <w:tcMar>
              <w:top w:w="75" w:type="dxa"/>
              <w:start w:w="85" w:type="dxa"/>
              <w:bottom w:w="7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/>
                <w:color w:val="FFFFFF"/>
                <w:sz w:val="16"/>
              </w:rPr>
              <w:t>Method / assumption / range</w:t>
            </w:r>
          </w:p>
        </w:tc>
        <w:tc>
          <w:tcPr>
            <w:tcW w:type="dxa" w:w="1152"/>
            <w:shd w:fill="0D3068"/>
            <w:vAlign w:val="center"/>
            <w:tcMar>
              <w:top w:w="75" w:type="dxa"/>
              <w:start w:w="85" w:type="dxa"/>
              <w:bottom w:w="7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/>
                <w:color w:val="FFFFFF"/>
                <w:sz w:val="16"/>
              </w:rPr>
              <w:t>Finance owner / control</w:t>
            </w:r>
          </w:p>
        </w:tc>
      </w:tr>
      <w:tr>
        <w:trPr>
          <w:cantSplit/>
        </w:trPr>
        <w:tc>
          <w:tcPr>
            <w:tcW w:type="dxa" w:w="720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224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080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152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152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152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152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296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152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</w:tr>
      <w:tr>
        <w:trPr>
          <w:cantSplit/>
        </w:trPr>
        <w:tc>
          <w:tcPr>
            <w:tcW w:type="dxa" w:w="720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224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080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152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152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152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152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296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152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</w:tr>
      <w:tr>
        <w:trPr>
          <w:cantSplit/>
        </w:trPr>
        <w:tc>
          <w:tcPr>
            <w:tcW w:type="dxa" w:w="720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224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080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152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152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152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152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296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152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</w:tr>
      <w:tr>
        <w:trPr>
          <w:cantSplit/>
        </w:trPr>
        <w:tc>
          <w:tcPr>
            <w:tcW w:type="dxa" w:w="720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224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080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152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152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152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152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296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152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</w:tr>
      <w:tr>
        <w:trPr>
          <w:cantSplit/>
        </w:trPr>
        <w:tc>
          <w:tcPr>
            <w:tcW w:type="dxa" w:w="720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224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080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152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152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152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152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296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152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</w:tr>
      <w:tr>
        <w:trPr>
          <w:cantSplit/>
        </w:trPr>
        <w:tc>
          <w:tcPr>
            <w:tcW w:type="dxa" w:w="720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224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080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152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152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152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152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296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152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</w:tr>
      <w:tr>
        <w:trPr>
          <w:cantSplit/>
        </w:trPr>
        <w:tc>
          <w:tcPr>
            <w:tcW w:type="dxa" w:w="720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224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080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152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152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152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152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296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152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</w:tr>
      <w:tr>
        <w:trPr>
          <w:cantSplit/>
        </w:trPr>
        <w:tc>
          <w:tcPr>
            <w:tcW w:type="dxa" w:w="720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224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080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152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152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152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152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296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152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</w:tr>
    </w:tbl>
    <w:p>
      <w:pPr>
        <w:spacing w:before="0" w:after="20" w:line="259" w:lineRule="auto"/>
      </w:pPr>
    </w:p>
    <w:p>
      <w:pPr>
        <w:pStyle w:val="Heading1"/>
        <w:keepNext/>
        <w:spacing w:before="120" w:after="60" w:line="259" w:lineRule="auto"/>
      </w:pPr>
      <w:r>
        <w:t>4. Governance A-C evidence matrix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3"/>
        <w:gridCol w:w="1953"/>
        <w:gridCol w:w="1953"/>
        <w:gridCol w:w="1953"/>
        <w:gridCol w:w="1953"/>
        <w:gridCol w:w="1953"/>
        <w:gridCol w:w="1953"/>
        <w:gridCol w:w="1953"/>
      </w:tblGrid>
      <w:tr>
        <w:trPr>
          <w:tblHeader w:val="true"/>
          <w:cantSplit/>
        </w:trPr>
        <w:tc>
          <w:tcPr>
            <w:tcW w:type="dxa" w:w="936"/>
            <w:shd w:fill="0D3068"/>
            <w:vAlign w:val="center"/>
            <w:tcMar>
              <w:top w:w="75" w:type="dxa"/>
              <w:start w:w="85" w:type="dxa"/>
              <w:bottom w:w="7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/>
                <w:color w:val="FFFFFF"/>
                <w:sz w:val="16"/>
              </w:rPr>
              <w:t>Disclosure</w:t>
            </w:r>
          </w:p>
        </w:tc>
        <w:tc>
          <w:tcPr>
            <w:tcW w:type="dxa" w:w="1368"/>
            <w:shd w:fill="0D3068"/>
            <w:vAlign w:val="center"/>
            <w:tcMar>
              <w:top w:w="75" w:type="dxa"/>
              <w:start w:w="85" w:type="dxa"/>
              <w:bottom w:w="7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/>
                <w:color w:val="FFFFFF"/>
                <w:sz w:val="16"/>
              </w:rPr>
              <w:t>Mandate / responsibility</w:t>
            </w:r>
          </w:p>
        </w:tc>
        <w:tc>
          <w:tcPr>
            <w:tcW w:type="dxa" w:w="1152"/>
            <w:shd w:fill="0D3068"/>
            <w:vAlign w:val="center"/>
            <w:tcMar>
              <w:top w:w="75" w:type="dxa"/>
              <w:start w:w="85" w:type="dxa"/>
              <w:bottom w:w="7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/>
                <w:color w:val="FFFFFF"/>
                <w:sz w:val="16"/>
              </w:rPr>
              <w:t>Information / cadence</w:t>
            </w:r>
          </w:p>
        </w:tc>
        <w:tc>
          <w:tcPr>
            <w:tcW w:type="dxa" w:w="1152"/>
            <w:shd w:fill="0D3068"/>
            <w:vAlign w:val="center"/>
            <w:tcMar>
              <w:top w:w="75" w:type="dxa"/>
              <w:start w:w="85" w:type="dxa"/>
              <w:bottom w:w="7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/>
                <w:color w:val="FFFFFF"/>
                <w:sz w:val="16"/>
              </w:rPr>
              <w:t>Decision / escalation</w:t>
            </w:r>
          </w:p>
        </w:tc>
        <w:tc>
          <w:tcPr>
            <w:tcW w:type="dxa" w:w="1080"/>
            <w:shd w:fill="0D3068"/>
            <w:vAlign w:val="center"/>
            <w:tcMar>
              <w:top w:w="75" w:type="dxa"/>
              <w:start w:w="85" w:type="dxa"/>
              <w:bottom w:w="7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/>
                <w:color w:val="FFFFFF"/>
                <w:sz w:val="16"/>
              </w:rPr>
              <w:t>Skills / training</w:t>
            </w:r>
          </w:p>
        </w:tc>
        <w:tc>
          <w:tcPr>
            <w:tcW w:type="dxa" w:w="1080"/>
            <w:shd w:fill="0D3068"/>
            <w:vAlign w:val="center"/>
            <w:tcMar>
              <w:top w:w="75" w:type="dxa"/>
              <w:start w:w="85" w:type="dxa"/>
              <w:bottom w:w="7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/>
                <w:color w:val="FFFFFF"/>
                <w:sz w:val="16"/>
              </w:rPr>
              <w:t>Remuneration link</w:t>
            </w:r>
          </w:p>
        </w:tc>
        <w:tc>
          <w:tcPr>
            <w:tcW w:type="dxa" w:w="1655"/>
            <w:shd w:fill="0D3068"/>
            <w:vAlign w:val="center"/>
            <w:tcMar>
              <w:top w:w="75" w:type="dxa"/>
              <w:start w:w="85" w:type="dxa"/>
              <w:bottom w:w="7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/>
                <w:color w:val="FFFFFF"/>
                <w:sz w:val="16"/>
              </w:rPr>
              <w:t>Human-rights / engagement evidence</w:t>
            </w:r>
          </w:p>
        </w:tc>
        <w:tc>
          <w:tcPr>
            <w:tcW w:type="dxa" w:w="1296"/>
            <w:shd w:fill="0D3068"/>
            <w:vAlign w:val="center"/>
            <w:tcMar>
              <w:top w:w="75" w:type="dxa"/>
              <w:start w:w="85" w:type="dxa"/>
              <w:bottom w:w="7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/>
                <w:color w:val="FFFFFF"/>
                <w:sz w:val="16"/>
              </w:rPr>
              <w:t>Board or management approval</w:t>
            </w:r>
          </w:p>
        </w:tc>
      </w:tr>
      <w:tr>
        <w:trPr>
          <w:cantSplit/>
        </w:trPr>
        <w:tc>
          <w:tcPr>
            <w:tcW w:type="dxa" w:w="936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368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152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152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080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080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655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296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</w:tr>
      <w:tr>
        <w:trPr>
          <w:cantSplit/>
        </w:trPr>
        <w:tc>
          <w:tcPr>
            <w:tcW w:type="dxa" w:w="936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368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152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152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080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080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655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296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</w:tr>
      <w:tr>
        <w:trPr>
          <w:cantSplit/>
        </w:trPr>
        <w:tc>
          <w:tcPr>
            <w:tcW w:type="dxa" w:w="936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368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152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152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080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080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655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296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</w:tr>
      <w:tr>
        <w:trPr>
          <w:cantSplit/>
        </w:trPr>
        <w:tc>
          <w:tcPr>
            <w:tcW w:type="dxa" w:w="936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368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152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152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080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080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655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296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</w:tr>
      <w:tr>
        <w:trPr>
          <w:cantSplit/>
        </w:trPr>
        <w:tc>
          <w:tcPr>
            <w:tcW w:type="dxa" w:w="936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368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152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152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080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080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655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296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</w:tr>
      <w:tr>
        <w:trPr>
          <w:cantSplit/>
        </w:trPr>
        <w:tc>
          <w:tcPr>
            <w:tcW w:type="dxa" w:w="936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368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152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152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080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080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655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296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</w:tr>
      <w:tr>
        <w:trPr>
          <w:cantSplit/>
        </w:trPr>
        <w:tc>
          <w:tcPr>
            <w:tcW w:type="dxa" w:w="936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368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152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152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080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080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655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296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</w:tr>
      <w:tr>
        <w:trPr>
          <w:cantSplit/>
        </w:trPr>
        <w:tc>
          <w:tcPr>
            <w:tcW w:type="dxa" w:w="936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368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152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152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080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080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655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296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</w:tr>
    </w:tbl>
    <w:p>
      <w:pPr>
        <w:spacing w:before="0" w:after="20" w:line="259" w:lineRule="auto"/>
      </w:pPr>
    </w:p>
    <w:p>
      <w:pPr>
        <w:pStyle w:val="Heading1"/>
        <w:keepNext/>
        <w:spacing w:before="120" w:after="60" w:line="259" w:lineRule="auto"/>
      </w:pPr>
      <w:r>
        <w:t>5. Strategy A-D drafting matrix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3"/>
        <w:gridCol w:w="1953"/>
        <w:gridCol w:w="1953"/>
        <w:gridCol w:w="1953"/>
        <w:gridCol w:w="1953"/>
        <w:gridCol w:w="1953"/>
        <w:gridCol w:w="1953"/>
        <w:gridCol w:w="1953"/>
      </w:tblGrid>
      <w:tr>
        <w:trPr>
          <w:tblHeader w:val="true"/>
          <w:cantSplit/>
        </w:trPr>
        <w:tc>
          <w:tcPr>
            <w:tcW w:type="dxa" w:w="864"/>
            <w:shd w:fill="0D3068"/>
            <w:vAlign w:val="center"/>
            <w:tcMar>
              <w:top w:w="75" w:type="dxa"/>
              <w:start w:w="85" w:type="dxa"/>
              <w:bottom w:w="7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/>
                <w:color w:val="FFFFFF"/>
                <w:sz w:val="16"/>
              </w:rPr>
              <w:t>Disclosure</w:t>
            </w:r>
          </w:p>
        </w:tc>
        <w:tc>
          <w:tcPr>
            <w:tcW w:type="dxa" w:w="1368"/>
            <w:shd w:fill="0D3068"/>
            <w:vAlign w:val="center"/>
            <w:tcMar>
              <w:top w:w="75" w:type="dxa"/>
              <w:start w:w="85" w:type="dxa"/>
              <w:bottom w:w="7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/>
                <w:color w:val="FFFFFF"/>
                <w:sz w:val="16"/>
              </w:rPr>
              <w:t>Required narrative focus</w:t>
            </w:r>
          </w:p>
        </w:tc>
        <w:tc>
          <w:tcPr>
            <w:tcW w:type="dxa" w:w="1224"/>
            <w:shd w:fill="0D3068"/>
            <w:vAlign w:val="center"/>
            <w:tcMar>
              <w:top w:w="75" w:type="dxa"/>
              <w:start w:w="85" w:type="dxa"/>
              <w:bottom w:w="7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/>
                <w:color w:val="FFFFFF"/>
                <w:sz w:val="16"/>
              </w:rPr>
              <w:t>DIRO / time horizon</w:t>
            </w:r>
          </w:p>
        </w:tc>
        <w:tc>
          <w:tcPr>
            <w:tcW w:type="dxa" w:w="1296"/>
            <w:shd w:fill="0D3068"/>
            <w:vAlign w:val="center"/>
            <w:tcMar>
              <w:top w:w="75" w:type="dxa"/>
              <w:start w:w="85" w:type="dxa"/>
              <w:bottom w:w="7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/>
                <w:color w:val="FFFFFF"/>
                <w:sz w:val="16"/>
              </w:rPr>
              <w:t>Business model / value chain</w:t>
            </w:r>
          </w:p>
        </w:tc>
        <w:tc>
          <w:tcPr>
            <w:tcW w:type="dxa" w:w="1296"/>
            <w:shd w:fill="0D3068"/>
            <w:vAlign w:val="center"/>
            <w:tcMar>
              <w:top w:w="75" w:type="dxa"/>
              <w:start w:w="85" w:type="dxa"/>
              <w:bottom w:w="7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/>
                <w:color w:val="FFFFFF"/>
                <w:sz w:val="16"/>
              </w:rPr>
              <w:t>Financial planning / effects</w:t>
            </w:r>
          </w:p>
        </w:tc>
        <w:tc>
          <w:tcPr>
            <w:tcW w:type="dxa" w:w="1296"/>
            <w:shd w:fill="0D3068"/>
            <w:vAlign w:val="center"/>
            <w:tcMar>
              <w:top w:w="75" w:type="dxa"/>
              <w:start w:w="85" w:type="dxa"/>
              <w:bottom w:w="7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/>
                <w:color w:val="FFFFFF"/>
                <w:sz w:val="16"/>
              </w:rPr>
              <w:t>Response / transition plan</w:t>
            </w:r>
          </w:p>
        </w:tc>
        <w:tc>
          <w:tcPr>
            <w:tcW w:type="dxa" w:w="1224"/>
            <w:shd w:fill="0D3068"/>
            <w:vAlign w:val="center"/>
            <w:tcMar>
              <w:top w:w="75" w:type="dxa"/>
              <w:start w:w="85" w:type="dxa"/>
              <w:bottom w:w="7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/>
                <w:color w:val="FFFFFF"/>
                <w:sz w:val="16"/>
              </w:rPr>
              <w:t>Scenario / resilience</w:t>
            </w:r>
          </w:p>
        </w:tc>
        <w:tc>
          <w:tcPr>
            <w:tcW w:type="dxa" w:w="1440"/>
            <w:shd w:fill="0D3068"/>
            <w:vAlign w:val="center"/>
            <w:tcMar>
              <w:top w:w="75" w:type="dxa"/>
              <w:start w:w="85" w:type="dxa"/>
              <w:bottom w:w="7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/>
                <w:color w:val="FFFFFF"/>
                <w:sz w:val="16"/>
              </w:rPr>
              <w:t>Priority-location evidence / cross-reference</w:t>
            </w:r>
          </w:p>
        </w:tc>
      </w:tr>
      <w:tr>
        <w:trPr>
          <w:cantSplit/>
        </w:trPr>
        <w:tc>
          <w:tcPr>
            <w:tcW w:type="dxa" w:w="864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368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224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296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296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296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224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440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</w:tr>
      <w:tr>
        <w:trPr>
          <w:cantSplit/>
        </w:trPr>
        <w:tc>
          <w:tcPr>
            <w:tcW w:type="dxa" w:w="864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368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224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296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296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296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224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440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</w:tr>
      <w:tr>
        <w:trPr>
          <w:cantSplit/>
        </w:trPr>
        <w:tc>
          <w:tcPr>
            <w:tcW w:type="dxa" w:w="864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368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224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296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296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296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224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440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</w:tr>
      <w:tr>
        <w:trPr>
          <w:cantSplit/>
        </w:trPr>
        <w:tc>
          <w:tcPr>
            <w:tcW w:type="dxa" w:w="864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368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224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296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296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296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224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440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</w:tr>
      <w:tr>
        <w:trPr>
          <w:cantSplit/>
        </w:trPr>
        <w:tc>
          <w:tcPr>
            <w:tcW w:type="dxa" w:w="864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368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224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296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296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296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224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440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</w:tr>
      <w:tr>
        <w:trPr>
          <w:cantSplit/>
        </w:trPr>
        <w:tc>
          <w:tcPr>
            <w:tcW w:type="dxa" w:w="864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368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224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296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296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296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224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440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</w:tr>
      <w:tr>
        <w:trPr>
          <w:cantSplit/>
        </w:trPr>
        <w:tc>
          <w:tcPr>
            <w:tcW w:type="dxa" w:w="864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368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224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296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296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296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224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440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</w:tr>
      <w:tr>
        <w:trPr>
          <w:cantSplit/>
        </w:trPr>
        <w:tc>
          <w:tcPr>
            <w:tcW w:type="dxa" w:w="864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368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224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296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296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296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224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440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</w:tr>
    </w:tbl>
    <w:p>
      <w:pPr>
        <w:spacing w:before="0" w:after="20" w:line="259" w:lineRule="auto"/>
      </w:pPr>
    </w:p>
    <w:p>
      <w:pPr>
        <w:pStyle w:val="Heading1"/>
        <w:keepNext/>
        <w:spacing w:before="120" w:after="60" w:line="259" w:lineRule="auto"/>
      </w:pPr>
      <w:r>
        <w:t>6. Scenario and resilience workshop record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3"/>
        <w:gridCol w:w="1953"/>
        <w:gridCol w:w="1953"/>
        <w:gridCol w:w="1953"/>
        <w:gridCol w:w="1953"/>
        <w:gridCol w:w="1953"/>
        <w:gridCol w:w="1953"/>
        <w:gridCol w:w="1953"/>
      </w:tblGrid>
      <w:tr>
        <w:trPr>
          <w:tblHeader w:val="true"/>
          <w:cantSplit/>
        </w:trPr>
        <w:tc>
          <w:tcPr>
            <w:tcW w:type="dxa" w:w="1080"/>
            <w:shd w:fill="0D3068"/>
            <w:vAlign w:val="center"/>
            <w:tcMar>
              <w:top w:w="75" w:type="dxa"/>
              <w:start w:w="85" w:type="dxa"/>
              <w:bottom w:w="7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/>
                <w:color w:val="FFFFFF"/>
                <w:sz w:val="16"/>
              </w:rPr>
              <w:t>Scenario / horizon</w:t>
            </w:r>
          </w:p>
        </w:tc>
        <w:tc>
          <w:tcPr>
            <w:tcW w:type="dxa" w:w="1368"/>
            <w:shd w:fill="0D3068"/>
            <w:vAlign w:val="center"/>
            <w:tcMar>
              <w:top w:w="75" w:type="dxa"/>
              <w:start w:w="85" w:type="dxa"/>
              <w:bottom w:w="7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/>
                <w:color w:val="FFFFFF"/>
                <w:sz w:val="16"/>
              </w:rPr>
              <w:t>Nature and climate assumptions</w:t>
            </w:r>
          </w:p>
        </w:tc>
        <w:tc>
          <w:tcPr>
            <w:tcW w:type="dxa" w:w="1512"/>
            <w:shd w:fill="0D3068"/>
            <w:vAlign w:val="center"/>
            <w:tcMar>
              <w:top w:w="75" w:type="dxa"/>
              <w:start w:w="85" w:type="dxa"/>
              <w:bottom w:w="7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/>
                <w:color w:val="FFFFFF"/>
                <w:sz w:val="16"/>
              </w:rPr>
              <w:t>Policy / market / technology assumptions</w:t>
            </w:r>
          </w:p>
        </w:tc>
        <w:tc>
          <w:tcPr>
            <w:tcW w:type="dxa" w:w="1224"/>
            <w:shd w:fill="0D3068"/>
            <w:vAlign w:val="center"/>
            <w:tcMar>
              <w:top w:w="75" w:type="dxa"/>
              <w:start w:w="85" w:type="dxa"/>
              <w:bottom w:w="7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/>
                <w:color w:val="FFFFFF"/>
                <w:sz w:val="16"/>
              </w:rPr>
              <w:t>Locations / ecosystems</w:t>
            </w:r>
          </w:p>
        </w:tc>
        <w:tc>
          <w:tcPr>
            <w:tcW w:type="dxa" w:w="1296"/>
            <w:shd w:fill="0D3068"/>
            <w:vAlign w:val="center"/>
            <w:tcMar>
              <w:top w:w="75" w:type="dxa"/>
              <w:start w:w="85" w:type="dxa"/>
              <w:bottom w:w="7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/>
                <w:color w:val="FFFFFF"/>
                <w:sz w:val="16"/>
              </w:rPr>
              <w:t>DIRO pathways tested</w:t>
            </w:r>
          </w:p>
        </w:tc>
        <w:tc>
          <w:tcPr>
            <w:tcW w:type="dxa" w:w="1224"/>
            <w:shd w:fill="0D3068"/>
            <w:vAlign w:val="center"/>
            <w:tcMar>
              <w:top w:w="75" w:type="dxa"/>
              <w:start w:w="85" w:type="dxa"/>
              <w:bottom w:w="7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/>
                <w:color w:val="FFFFFF"/>
                <w:sz w:val="16"/>
              </w:rPr>
              <w:t>Strategic vulnerability</w:t>
            </w:r>
          </w:p>
        </w:tc>
        <w:tc>
          <w:tcPr>
            <w:tcW w:type="dxa" w:w="1224"/>
            <w:shd w:fill="0D3068"/>
            <w:vAlign w:val="center"/>
            <w:tcMar>
              <w:top w:w="75" w:type="dxa"/>
              <w:start w:w="85" w:type="dxa"/>
              <w:bottom w:w="7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/>
                <w:color w:val="FFFFFF"/>
                <w:sz w:val="16"/>
              </w:rPr>
              <w:t>Response / option value</w:t>
            </w:r>
          </w:p>
        </w:tc>
        <w:tc>
          <w:tcPr>
            <w:tcW w:type="dxa" w:w="1296"/>
            <w:shd w:fill="0D3068"/>
            <w:vAlign w:val="center"/>
            <w:tcMar>
              <w:top w:w="75" w:type="dxa"/>
              <w:start w:w="85" w:type="dxa"/>
              <w:bottom w:w="7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b/>
                <w:color w:val="FFFFFF"/>
                <w:sz w:val="16"/>
              </w:rPr>
              <w:t>Decision / owner / evidence</w:t>
            </w:r>
          </w:p>
        </w:tc>
      </w:tr>
      <w:tr>
        <w:trPr>
          <w:cantSplit/>
        </w:trPr>
        <w:tc>
          <w:tcPr>
            <w:tcW w:type="dxa" w:w="1080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368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512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224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296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224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224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296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</w:tr>
      <w:tr>
        <w:trPr>
          <w:cantSplit/>
        </w:trPr>
        <w:tc>
          <w:tcPr>
            <w:tcW w:type="dxa" w:w="1080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368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512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224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296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224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224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296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</w:tr>
      <w:tr>
        <w:trPr>
          <w:cantSplit/>
        </w:trPr>
        <w:tc>
          <w:tcPr>
            <w:tcW w:type="dxa" w:w="1080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368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512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224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296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224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224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296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</w:tr>
      <w:tr>
        <w:trPr>
          <w:cantSplit/>
        </w:trPr>
        <w:tc>
          <w:tcPr>
            <w:tcW w:type="dxa" w:w="1080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368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512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224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296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224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224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296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</w:tr>
      <w:tr>
        <w:trPr>
          <w:cantSplit/>
        </w:trPr>
        <w:tc>
          <w:tcPr>
            <w:tcW w:type="dxa" w:w="1080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368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512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224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296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224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224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296"/>
            <w:vAlign w:val="top"/>
            <w:shd w:fill="F4F8FB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</w:tr>
      <w:tr>
        <w:trPr>
          <w:cantSplit/>
        </w:trPr>
        <w:tc>
          <w:tcPr>
            <w:tcW w:type="dxa" w:w="1080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368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512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224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296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224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224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  <w:tc>
          <w:tcPr>
            <w:tcW w:type="dxa" w:w="1296"/>
            <w:vAlign w:val="top"/>
            <w:shd w:fill="FFFFFF"/>
            <w:tcMar>
              <w:top w:w="65" w:type="dxa"/>
              <w:start w:w="85" w:type="dxa"/>
              <w:bottom w:w="65" w:type="dxa"/>
              <w:end w:w="85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/>
                <w:color w:val="202936"/>
                <w:sz w:val="15"/>
              </w:rPr>
            </w:r>
          </w:p>
        </w:tc>
      </w:tr>
    </w:tbl>
    <w:p>
      <w:pPr>
        <w:spacing w:before="0" w:after="20" w:line="259" w:lineRule="auto"/>
      </w:pPr>
    </w:p>
    <w:p>
      <w:pPr>
        <w:pStyle w:val="Heading1"/>
        <w:keepNext/>
        <w:spacing w:before="120" w:after="60" w:line="259" w:lineRule="auto"/>
      </w:pPr>
      <w:r>
        <w:t>7. Disclosure readiness checklist</w:t>
      </w:r>
    </w:p>
    <w:p>
      <w:pPr>
        <w:pStyle w:val="ListBullet"/>
        <w:keepLines/>
        <w:spacing w:before="0" w:after="60" w:line="252" w:lineRule="auto"/>
      </w:pPr>
      <w:r>
        <w:t>☐ The materiality approach, reporting boundary and time horizons are documented and used consistently.</w:t>
      </w:r>
    </w:p>
    <w:p>
      <w:pPr>
        <w:pStyle w:val="ListBullet"/>
        <w:keepLines/>
        <w:spacing w:before="0" w:after="60" w:line="252" w:lineRule="auto"/>
      </w:pPr>
      <w:r>
        <w:t>☐ Risks are traced to dependencies and impacts rather than labelled only by broad ESG themes.</w:t>
      </w:r>
    </w:p>
    <w:p>
      <w:pPr>
        <w:pStyle w:val="ListBullet"/>
        <w:keepLines/>
        <w:spacing w:before="0" w:after="60" w:line="252" w:lineRule="auto"/>
      </w:pPr>
      <w:r>
        <w:t>☐ Physical, transition and systemic risk pathways are separately considered where relevant.</w:t>
      </w:r>
    </w:p>
    <w:p>
      <w:pPr>
        <w:pStyle w:val="ListBullet"/>
        <w:keepLines/>
        <w:spacing w:before="0" w:after="60" w:line="252" w:lineRule="auto"/>
      </w:pPr>
      <w:r>
        <w:t>☐ Opportunities include evidence of both organisational benefit and a nature outcome, with dependencies and trade-offs assessed.</w:t>
      </w:r>
    </w:p>
    <w:p>
      <w:pPr>
        <w:pStyle w:val="ListBullet"/>
        <w:keepLines/>
        <w:spacing w:before="0" w:after="60" w:line="252" w:lineRule="auto"/>
      </w:pPr>
      <w:r>
        <w:t>☐ Financial effects are connected to finance line items, assumptions, scenarios and control owners.</w:t>
      </w:r>
    </w:p>
    <w:p>
      <w:pPr>
        <w:pStyle w:val="ListBullet"/>
        <w:keepLines/>
        <w:spacing w:before="0" w:after="60" w:line="252" w:lineRule="auto"/>
      </w:pPr>
      <w:r>
        <w:t>☐ Governance A-C evidence covers board oversight, management roles, human-rights policies and engagement activities.</w:t>
      </w:r>
    </w:p>
    <w:p>
      <w:pPr>
        <w:pStyle w:val="ListBullet"/>
        <w:keepLines/>
        <w:spacing w:before="0" w:after="60" w:line="252" w:lineRule="auto"/>
      </w:pPr>
      <w:r>
        <w:t>☐ Strategy A-D drafting covers DIROs, business model and value chain, financial planning, resilience and priority locations.</w:t>
      </w:r>
    </w:p>
    <w:p>
      <w:pPr>
        <w:pStyle w:val="ListBullet"/>
        <w:keepLines/>
        <w:spacing w:before="0" w:after="60" w:line="252" w:lineRule="auto"/>
      </w:pPr>
      <w:r>
        <w:t>☐ Scenario analysis is proportionate but sufficiently challenging to test strategic resilience.</w:t>
      </w:r>
    </w:p>
    <w:p>
      <w:pPr>
        <w:pStyle w:val="ListBullet"/>
        <w:keepLines/>
        <w:spacing w:before="0" w:after="60" w:line="252" w:lineRule="auto"/>
      </w:pPr>
      <w:r>
        <w:t>☐ Illustrative or nature-positive wording is not used without evidence, boundary, period and limitations.</w:t>
      </w:r>
    </w:p>
    <w:p>
      <w:pPr>
        <w:pStyle w:val="ListBullet"/>
        <w:keepLines/>
        <w:spacing w:before="0" w:after="60" w:line="252" w:lineRule="auto"/>
      </w:pPr>
      <w:r>
        <w:t>☐ The next review cycle, data-improvement plan and update triggers are scheduled.</w:t>
      </w:r>
    </w:p>
    <w:sectPr w:rsidR="00FC693F" w:rsidRPr="0006063C" w:rsidSect="00034616">
      <w:headerReference w:type="default" r:id="rId9"/>
      <w:footerReference w:type="default" r:id="rId10"/>
      <w:headerReference w:type="first" r:id="rId22"/>
      <w:footerReference w:type="first" r:id="rId23"/>
      <w:pgSz w:w="16838" w:h="11906" w:orient="landscape"/>
      <w:pgMar w:top="749" w:right="605" w:bottom="749" w:left="605" w:header="369" w:footer="369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D6978"/>
        <w:sz w:val="16"/>
      </w:rPr>
      <w:t xml:space="preserve">TNFD-TOOLKIT  |  Reviewed 3 August 2026  |  </w:t>
    </w:r>
    <w:r>
      <w:fldChar w:fldCharType="begin"/>
      <w:instrText xml:space="preserve"> PAGE </w:instrText>
      <w:fldChar w:fldCharType="end"/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Arial" w:hAnsi="Arial"/>
        <w:b/>
        <w:color w:val="0D3068"/>
        <w:sz w:val="17"/>
      </w:rPr>
      <w:t>LONDON REPORTING ACADEMY  ·  KNOWLEDGE HUB  ·  TNFD · IMPLEMENTATION TOOLKIT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after="100" w:line="259" w:lineRule="auto"/>
    </w:pPr>
    <w:rPr>
      <w:rFonts w:ascii="Arial" w:hAnsi="Arial"/>
      <w:color w:val="202936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40"/>
      <w:outlineLvl w:val="0"/>
    </w:pPr>
    <w:rPr>
      <w:rFonts w:asciiTheme="majorHAnsi" w:eastAsiaTheme="majorEastAsia" w:hAnsiTheme="majorHAnsi" w:cstheme="majorBidi" w:ascii="Arial" w:hAnsi="Arial"/>
      <w:b/>
      <w:bCs/>
      <w:color w:val="0D3068"/>
      <w:sz w:val="3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 w:ascii="Arial" w:hAnsi="Arial"/>
      <w:b/>
      <w:bCs/>
      <w:color w:val="14396D"/>
      <w:sz w:val="3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80"/>
      <w:outlineLvl w:val="2"/>
    </w:pPr>
    <w:rPr>
      <w:rFonts w:asciiTheme="majorHAnsi" w:eastAsiaTheme="majorEastAsia" w:hAnsiTheme="majorHAnsi" w:cstheme="majorBidi" w:ascii="Arial" w:hAnsi="Arial"/>
      <w:b/>
      <w:bCs/>
      <w:color w:val="14396D"/>
      <w:sz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80"/>
      <w:outlineLvl w:val="3"/>
    </w:pPr>
    <w:rPr>
      <w:rFonts w:asciiTheme="majorHAnsi" w:eastAsiaTheme="majorEastAsia" w:hAnsiTheme="majorHAnsi" w:cstheme="majorBidi" w:ascii="Arial" w:hAnsi="Arial"/>
      <w:b/>
      <w:bCs/>
      <w:i/>
      <w:iCs/>
      <w:color w:val="2F7DBD"/>
      <w:sz w:val="2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60" w:line="240" w:lineRule="auto" w:before="0"/>
      <w:contextualSpacing/>
    </w:pPr>
    <w:rPr>
      <w:rFonts w:asciiTheme="majorHAnsi" w:eastAsiaTheme="majorEastAsia" w:hAnsiTheme="majorHAnsi" w:cstheme="majorBidi" w:ascii="Arial" w:hAnsi="Arial"/>
      <w:b/>
      <w:color w:val="14396D"/>
      <w:spacing w:val="5"/>
      <w:kern w:val="28"/>
      <w:sz w:val="4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160"/>
    </w:pPr>
    <w:rPr>
      <w:rFonts w:asciiTheme="majorHAnsi" w:eastAsiaTheme="majorEastAsia" w:hAnsiTheme="majorHAnsi" w:cstheme="majorBidi" w:ascii="Arial" w:hAnsi="Arial"/>
      <w:b w:val="0"/>
      <w:i/>
      <w:iCs/>
      <w:color w:val="5D6978"/>
      <w:spacing w:val="15"/>
      <w:sz w:val="23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60"/>
      <w:contextualSpacing/>
    </w:pPr>
    <w:rPr>
      <w:rFonts w:ascii="Arial" w:hAnsi="Arial"/>
      <w:color w:val="202936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spacing w:after="60"/>
      <w:contextualSpacing/>
    </w:pPr>
    <w:rPr>
      <w:rFonts w:ascii="Arial" w:hAnsi="Arial"/>
      <w:color w:val="202936"/>
      <w:sz w:val="20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60"/>
      <w:contextualSpacing/>
    </w:pPr>
    <w:rPr>
      <w:rFonts w:ascii="Arial" w:hAnsi="Arial"/>
      <w:color w:val="202936"/>
      <w:sz w:val="20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spacing w:after="60"/>
      <w:contextualSpacing/>
    </w:pPr>
    <w:rPr>
      <w:rFonts w:ascii="Arial" w:hAnsi="Arial"/>
      <w:color w:val="202936"/>
      <w:sz w:val="20"/>
    </w:r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RACaption">
    <w:name w:val="LRA Caption"/>
    <w:pPr>
      <w:keepNext w:val="0"/>
      <w:spacing w:after="140"/>
    </w:pPr>
    <w:rPr>
      <w:rFonts w:ascii="Arial" w:hAnsi="Arial"/>
      <w:i/>
      <w:color w:val="5D6978"/>
      <w:sz w:val="17"/>
    </w:rPr>
  </w:style>
  <w:style w:type="paragraph" w:customStyle="1" w:styleId="LRAAnswer">
    <w:name w:val="LRA Answer"/>
    <w:basedOn w:val="Normal"/>
    <w:pPr>
      <w:spacing w:after="100" w:line="259" w:lineRule="auto"/>
    </w:pPr>
    <w:rPr>
      <w:rFonts w:ascii="Arial" w:hAnsi="Arial"/>
      <w:b w:val="0"/>
      <w:color w:val="202936"/>
      <w:sz w:val="21"/>
    </w:rPr>
  </w:style>
  <w:style w:type="paragraph" w:customStyle="1" w:styleId="LRASmall">
    <w:name w:val="LRA Small"/>
    <w:basedOn w:val="Normal"/>
    <w:pPr>
      <w:spacing w:after="60"/>
    </w:pPr>
    <w:rPr>
      <w:rFonts w:ascii="Arial" w:hAnsi="Arial"/>
      <w:color w:val="5D6978"/>
      <w:sz w:val="17"/>
    </w:rPr>
  </w:style>
  <w:style w:type="paragraph" w:customStyle="1" w:styleId="LRASource">
    <w:name w:val="LRA Source"/>
    <w:basedOn w:val="Normal"/>
    <w:pPr>
      <w:spacing w:after="80"/>
      <w:ind w:left="259" w:hanging="259"/>
    </w:pPr>
    <w:rPr>
      <w:rFonts w:ascii="Arial" w:hAnsi="Arial"/>
      <w:color w:val="202936"/>
      <w:sz w:val="17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hyperlink" Target="https://assets.publishing.service.gov.uk/media/699dd3b007d7bff3604d6c5e/uk_srs_1_general_requirements_for_disclosure_of_sustainability_related_financial_information.pdf" TargetMode="External"/><Relationship Id="rId14" Type="http://schemas.openxmlformats.org/officeDocument/2006/relationships/hyperlink" Target="https://assets.publishing.service.gov.uk/media/699ddf22532c9ad91ebbcc2b/uk_srs_s2_climate_related_disclosures.pdf" TargetMode="External"/><Relationship Id="rId15" Type="http://schemas.openxmlformats.org/officeDocument/2006/relationships/hyperlink" Target="https://www.gov.uk/government/consultations/exposure-drafts-uk-sustainability-reporting-standards/outcome/government-response-to-the-consultation-on-uk-sustainability-reporting-standards-web-version" TargetMode="External"/><Relationship Id="rId16" Type="http://schemas.openxmlformats.org/officeDocument/2006/relationships/hyperlink" Target="https://www.frc.org.uk/library/standards-codes-policy/accounting-and-reporting/annual-corporate-reporting/sustainability-reporting-developments-frequently-asked-questions/" TargetMode="External"/><Relationship Id="rId17" Type="http://schemas.openxmlformats.org/officeDocument/2006/relationships/hyperlink" Target="https://www.fca.org.uk/publications/consultation-papers/cp26-5-sustainability-disclosures" TargetMode="External"/><Relationship Id="rId18" Type="http://schemas.openxmlformats.org/officeDocument/2006/relationships/hyperlink" Target="https://www.frc.org.uk/library/standards-codes-policy/accounting-and-reporting/annual-corporate-reporting/guidance-on-the-strategic-report/" TargetMode="External"/><Relationship Id="rId19" Type="http://schemas.openxmlformats.org/officeDocument/2006/relationships/hyperlink" Target="https://www.frc.org.uk/library/standards-codes-policy/corporate-governance/uk-corporate-governance-code/" TargetMode="External"/><Relationship Id="rId20" Type="http://schemas.openxmlformats.org/officeDocument/2006/relationships/hyperlink" Target="https://www.frc.org.uk/docs/9420/html/" TargetMode="External"/><Relationship Id="rId21" Type="http://schemas.openxmlformats.org/officeDocument/2006/relationships/hyperlink" Target="https://www.frc.org.uk/library/standards-codes-policy/audit-assurance-and-ethics/assurance-standards/" TargetMode="External"/><Relationship Id="rId22" Type="http://schemas.openxmlformats.org/officeDocument/2006/relationships/header" Target="header2.xml"/><Relationship Id="rId23" Type="http://schemas.openxmlformats.org/officeDocument/2006/relationships/footer" Target="footer2.xml"/><Relationship Id="rId24" Type="http://schemas.openxmlformats.org/officeDocument/2006/relationships/image" Target="media/image3.png"/><Relationship Id="rId25" Type="http://schemas.openxmlformats.org/officeDocument/2006/relationships/image" Target="media/image4.png"/><Relationship Id="rId26" Type="http://schemas.openxmlformats.org/officeDocument/2006/relationships/hyperlink" Target="https://www.gov.uk/government/publications/uk-sustainability-reporting-standards-uk-srs-s1-and-uk-srs-s2" TargetMode="External"/><Relationship Id="rId27" Type="http://schemas.openxmlformats.org/officeDocument/2006/relationships/hyperlink" Target="https://www.ifrs.org/content/dam/ifrs/publications/amendments/english/2025/issb-2025-1-amendments-ifrs-s2.pdf" TargetMode="External"/><Relationship Id="rId28" Type="http://schemas.openxmlformats.org/officeDocument/2006/relationships/hyperlink" Target="https://ghgprotocol.org/sites/default/files/2022-12/Chapter15.pdf" TargetMode="External"/><Relationship Id="rId29" Type="http://schemas.openxmlformats.org/officeDocument/2006/relationships/hyperlink" Target="https://carbonaccountingfinancials.com/files/standard-launch-2025/PCAF-PartA-2025-V3.pdf" TargetMode="External"/><Relationship Id="rId30" Type="http://schemas.openxmlformats.org/officeDocument/2006/relationships/hyperlink" Target="https://carbonaccountingfinancials.com/files/standard-launch-2025/PCAF-PartC-2025-V2.pdf" TargetMode="External"/><Relationship Id="rId31" Type="http://schemas.openxmlformats.org/officeDocument/2006/relationships/hyperlink" Target="https://ghgprotocol.org/sites/default/files/2026-03/S3-Phase1ProgressUpdate-20260331.pdf" TargetMode="External"/><Relationship Id="rId32" Type="http://schemas.openxmlformats.org/officeDocument/2006/relationships/image" Target="media/image5.png"/><Relationship Id="rId33" Type="http://schemas.openxmlformats.org/officeDocument/2006/relationships/image" Target="media/image6.png"/><Relationship Id="rId34" Type="http://schemas.openxmlformats.org/officeDocument/2006/relationships/image" Target="media/image7.png"/><Relationship Id="rId35" Type="http://schemas.openxmlformats.org/officeDocument/2006/relationships/hyperlink" Target="https://tnfd.global/wp-content/uploads/2023/08/Recommendations_of_the_Taskforce_on_Nature-related_Financial_Disclosures_September_2023.pdf" TargetMode="External"/><Relationship Id="rId36" Type="http://schemas.openxmlformats.org/officeDocument/2006/relationships/hyperlink" Target="https://tnfd.global/wp-content/uploads/2023/08/Guidance_on_the_identification_and_assessment_of_nature-related_Issues_The_TNFD_LEAP_approach_V1.1_October2023.pdf" TargetMode="External"/><Relationship Id="rId37" Type="http://schemas.openxmlformats.org/officeDocument/2006/relationships/hyperlink" Target="https://tnfd.global/wp-content/uploads/2024/06/Guidance-on-value-chains_Digital.pdf" TargetMode="External"/><Relationship Id="rId38" Type="http://schemas.openxmlformats.org/officeDocument/2006/relationships/hyperlink" Target="https://tnfd.global/wp-content/uploads/2023/09/TNFD-Glossary-of-terms_V2.0_June_2024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TNFD Risks, Opportunities, Financial Effects, Governance and Strategy Working Registers and Checklists</dc:title>
  <dc:subject>TNFD · IMPLEMENTATION TOOLKIT</dc:subject>
  <dc:creator>London Reporting Academy</dc:creator>
  <cp:keywords>TNFD, LEAP, nature-related disclosure, London Reporting Academy</cp:keywords>
  <dc:description>Educational practitioner material. Reviewed 3 August 2026.</dc:description>
  <cp:lastModifiedBy>London Reporting Academy</cp:lastModifiedBy>
  <cp:revision>1</cp:revision>
  <dcterms:created xsi:type="dcterms:W3CDTF">2013-12-23T23:15:00Z</dcterms:created>
  <dcterms:modified xsi:type="dcterms:W3CDTF">2013-12-23T23:15:00Z</dcterms:modified>
  <cp:category/>
</cp:coreProperties>
</file>