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Layout w:type="fixed"/>
      </w:tblPr>
      <w:tblGrid>
        <w:gridCol w:w="10036"/>
      </w:tblGrid>
      <w:tr>
        <w:trPr>
          <w:trHeight w:val="4706" w:hRule="atLeast"/>
        </w:trPr>
        <w:tc>
          <w:tcPr>
            <w:tcW w:type="dxa" w:w="10036"/>
            <w:shd w:fill="173F65"/>
            <w:tcMar>
              <w:top w:w="420" w:type="dxa"/>
              <w:start w:w="420" w:type="dxa"/>
              <w:bottom w:w="380" w:type="dxa"/>
              <w:end w:w="420" w:type="dxa"/>
            </w:tcMar>
          </w:tcPr>
          <w:p>
            <w:pPr>
              <w:spacing w:before="0" w:after="160" w:line="240" w:lineRule="auto"/>
              <w:jc w:val="right"/>
            </w:pPr>
            <w:r>
              <w:drawing>
                <wp:inline xmlns:a="http://schemas.openxmlformats.org/drawingml/2006/main" xmlns:pic="http://schemas.openxmlformats.org/drawingml/2006/picture">
                  <wp:extent cx="1800000" cy="387624"/>
                  <wp:docPr id="1" name="Picture 1" descr="London Reporting Academy logo" title="London Reporting Academy logo"/>
                  <wp:cNvGraphicFramePr>
                    <a:graphicFrameLocks noChangeAspect="1"/>
                  </wp:cNvGraphicFramePr>
                  <a:graphic>
                    <a:graphicData uri="http://schemas.openxmlformats.org/drawingml/2006/picture">
                      <pic:pic>
                        <pic:nvPicPr>
                          <pic:cNvPr id="0" name="LRA_logo_white_panel.png"/>
                          <pic:cNvPicPr/>
                        </pic:nvPicPr>
                        <pic:blipFill>
                          <a:blip r:embed="rId11"/>
                          <a:stretch>
                            <a:fillRect/>
                          </a:stretch>
                        </pic:blipFill>
                        <pic:spPr>
                          <a:xfrm>
                            <a:off x="0" y="0"/>
                            <a:ext cx="1800000" cy="387624"/>
                          </a:xfrm>
                          <a:prstGeom prst="rect"/>
                        </pic:spPr>
                      </pic:pic>
                    </a:graphicData>
                  </a:graphic>
                </wp:inline>
              </w:drawing>
            </w:r>
          </w:p>
          <w:p>
            <w:pPr>
              <w:spacing w:before="320" w:after="160" w:line="240" w:lineRule="auto"/>
            </w:pPr>
            <w:r>
              <w:rPr>
                <w:rFonts w:ascii="Lato" w:hAnsi="Lato" w:eastAsia="Lato"/>
                <w:b/>
                <w:color w:val="FFFFFF"/>
                <w:sz w:val="50"/>
              </w:rPr>
              <w:t>UK SRS S2 Annual Report Disclosure Template</w:t>
            </w:r>
          </w:p>
          <w:p>
            <w:pPr>
              <w:spacing w:before="100" w:after="0" w:line="259" w:lineRule="auto"/>
            </w:pPr>
            <w:r>
              <w:rPr>
                <w:rFonts w:ascii="Lato" w:hAnsi="Lato" w:eastAsia="Lato"/>
                <w:color w:val="DCE9F5"/>
                <w:sz w:val="26"/>
              </w:rPr>
              <w:t>Editable structure and drafting prompts for basis of preparation, four pillars, scenarios, GHG, financial effects, judgements, provisions, cross-references and approval</w:t>
            </w:r>
          </w:p>
        </w:tc>
      </w:tr>
    </w:tbl>
    <w:p/>
    <w:tbl>
      <w:tblPr>
        <w:tblW w:type="auto" w:w="0"/>
        <w:jc w:val="center"/>
        <w:tblLook w:firstColumn="1" w:firstRow="1" w:lastColumn="0" w:lastRow="0" w:noHBand="0" w:noVBand="1" w:val="04A0"/>
        <w:tblLayout w:type="fixed"/>
      </w:tblPr>
      <w:tblGrid>
        <w:gridCol w:w="5018"/>
        <w:gridCol w:w="5018"/>
      </w:tblGrid>
      <w:tr>
        <w:tc>
          <w:tcPr>
            <w:tcW w:type="dxa" w:w="2381"/>
            <w:shd w:fill="EAF1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b/>
                <w:color w:val="173F65"/>
                <w:sz w:val="18"/>
              </w:rPr>
              <w:t>Article ID</w:t>
            </w:r>
          </w:p>
        </w:tc>
        <w:tc>
          <w:tcPr>
            <w:tcW w:type="dxa" w:w="7427"/>
            <w:shd w:fill="FFFFFF"/>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color w:val="26384A"/>
                <w:sz w:val="18"/>
              </w:rPr>
              <w:t>UKSRS-S2-TPL-001</w:t>
            </w:r>
          </w:p>
        </w:tc>
      </w:tr>
      <w:tr>
        <w:tc>
          <w:tcPr>
            <w:tcW w:type="dxa" w:w="2381"/>
            <w:shd w:fill="DDEB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b/>
                <w:color w:val="173F65"/>
                <w:sz w:val="18"/>
              </w:rPr>
              <w:t>Publication type</w:t>
            </w:r>
          </w:p>
        </w:tc>
        <w:tc>
          <w:tcPr>
            <w:tcW w:type="dxa" w:w="7427"/>
            <w:shd w:fill="F3F5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color w:val="26384A"/>
                <w:sz w:val="18"/>
              </w:rPr>
              <w:t>Practical report template</w:t>
            </w:r>
          </w:p>
        </w:tc>
      </w:tr>
      <w:tr>
        <w:tc>
          <w:tcPr>
            <w:tcW w:type="dxa" w:w="2381"/>
            <w:shd w:fill="EAF1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b/>
                <w:color w:val="173F65"/>
                <w:sz w:val="18"/>
              </w:rPr>
              <w:t>Primary audience</w:t>
            </w:r>
          </w:p>
        </w:tc>
        <w:tc>
          <w:tcPr>
            <w:tcW w:type="dxa" w:w="7427"/>
            <w:shd w:fill="FFFFFF"/>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color w:val="26384A"/>
                <w:sz w:val="18"/>
              </w:rPr>
              <w:t>UK annual-report, finance, sustainability, risk and company-secretarial teams</w:t>
            </w:r>
          </w:p>
        </w:tc>
      </w:tr>
      <w:tr>
        <w:tc>
          <w:tcPr>
            <w:tcW w:type="dxa" w:w="2381"/>
            <w:shd w:fill="DDEB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b/>
                <w:color w:val="173F65"/>
                <w:sz w:val="18"/>
              </w:rPr>
              <w:t>Jurisdiction</w:t>
            </w:r>
          </w:p>
        </w:tc>
        <w:tc>
          <w:tcPr>
            <w:tcW w:type="dxa" w:w="7427"/>
            <w:shd w:fill="F3F5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color w:val="26384A"/>
                <w:sz w:val="18"/>
              </w:rPr>
              <w:t>United Kingdom</w:t>
            </w:r>
          </w:p>
        </w:tc>
      </w:tr>
      <w:tr>
        <w:tc>
          <w:tcPr>
            <w:tcW w:type="dxa" w:w="2381"/>
            <w:shd w:fill="EAF1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b/>
                <w:color w:val="173F65"/>
                <w:sz w:val="18"/>
              </w:rPr>
              <w:t>Technical cut-off</w:t>
            </w:r>
          </w:p>
        </w:tc>
        <w:tc>
          <w:tcPr>
            <w:tcW w:type="dxa" w:w="7427"/>
            <w:shd w:fill="FFFFFF"/>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color w:val="26384A"/>
                <w:sz w:val="18"/>
              </w:rPr>
              <w:t>3 August 2026</w:t>
            </w:r>
          </w:p>
        </w:tc>
      </w:tr>
      <w:tr>
        <w:tc>
          <w:tcPr>
            <w:tcW w:type="dxa" w:w="2381"/>
            <w:shd w:fill="DDEB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b/>
                <w:color w:val="173F65"/>
                <w:sz w:val="18"/>
              </w:rPr>
              <w:t>Reporting status</w:t>
            </w:r>
          </w:p>
        </w:tc>
        <w:tc>
          <w:tcPr>
            <w:tcW w:type="dxa" w:w="7427"/>
            <w:shd w:fill="F3F5F7"/>
            <w:tcMar>
              <w:top w:w="90" w:type="dxa"/>
              <w:start w:w="120" w:type="dxa"/>
              <w:bottom w:w="90" w:type="dxa"/>
              <w:end w:w="120" w:type="dxa"/>
            </w:tcMar>
            <w:tcBorders>
              <w:top w:val="single" w:sz="4" w:color="C8D2DC"/>
              <w:left w:val="single" w:sz="4" w:color="C8D2DC"/>
              <w:bottom w:val="single" w:sz="4" w:color="C8D2DC"/>
              <w:right w:val="single" w:sz="4" w:color="C8D2DC"/>
            </w:tcBorders>
          </w:tcPr>
          <w:p>
            <w:pPr>
              <w:spacing w:before="0" w:after="0" w:line="240" w:lineRule="auto"/>
            </w:pPr>
            <w:r>
              <w:rPr>
                <w:rFonts w:ascii="Lato" w:hAnsi="Lato" w:eastAsia="Lato"/>
                <w:color w:val="26384A"/>
                <w:sz w:val="18"/>
              </w:rPr>
              <w:t>Illustrative implementation template. Adapt to final UK SRS, applicable law/regulation and entity-specific facts.</w:t>
            </w:r>
          </w:p>
        </w:tc>
      </w:tr>
    </w:tbl>
    <w:p>
      <w:pPr>
        <w:spacing w:before="240" w:after="0" w:line="252" w:lineRule="auto"/>
        <w:jc w:val="center"/>
      </w:pPr>
      <w:r>
        <w:rPr>
          <w:rFonts w:ascii="Lato" w:hAnsi="Lato" w:eastAsia="Lato"/>
          <w:i/>
          <w:color w:val="667788"/>
          <w:sz w:val="16"/>
        </w:rPr>
        <w:t>Educational practitioner guidance. Not legal or assurance advice. Verify the current UK SRS text, applicable reporting rules and entity-specific facts before acting.</w:t>
      </w:r>
    </w:p>
    <w:p>
      <w:r>
        <w:br w:type="page"/>
      </w:r>
    </w:p>
    <w:tbl>
      <w:tblPr>
        <w:tblW w:type="auto" w:w="0"/>
        <w:jc w:val="center"/>
        <w:tblLook w:firstColumn="1" w:firstRow="1" w:lastColumn="0" w:lastRow="0" w:noHBand="0" w:noVBand="1" w:val="04A0"/>
        <w:tblLayout w:type="fixed"/>
      </w:tblPr>
      <w:tblGrid>
        <w:gridCol w:w="10036"/>
      </w:tblGrid>
      <w:tr>
        <w:tc>
          <w:tcPr>
            <w:tcW w:type="dxa" w:w="10036"/>
            <w:shd w:fill="EAF1F7"/>
            <w:tcMar>
              <w:top w:w="180" w:type="dxa"/>
              <w:start w:w="200" w:type="dxa"/>
              <w:bottom w:w="160" w:type="dxa"/>
              <w:end w:w="200" w:type="dxa"/>
            </w:tcMar>
            <w:tcBorders>
              <w:top w:val="single" w:sz="4" w:color="C8D2DC"/>
              <w:left w:val="single" w:sz="24" w:color="2A6F97"/>
              <w:bottom w:val="single" w:sz="4" w:color="C8D2DC"/>
              <w:right w:val="single" w:sz="4" w:color="C8D2DC"/>
            </w:tcBorders>
          </w:tcPr>
          <w:p>
            <w:pPr>
              <w:spacing w:before="0" w:after="100" w:line="240" w:lineRule="auto"/>
            </w:pPr>
            <w:r>
              <w:rPr>
                <w:rFonts w:ascii="Lato" w:hAnsi="Lato" w:eastAsia="Lato"/>
                <w:b/>
                <w:color w:val="173F65"/>
                <w:sz w:val="20"/>
              </w:rPr>
              <w:t>HOW TO USE THIS TEMPLATE</w:t>
            </w:r>
          </w:p>
          <w:p>
            <w:pPr>
              <w:spacing w:before="0" w:after="60" w:line="269" w:lineRule="auto"/>
            </w:pPr>
            <w:r>
              <w:rPr>
                <w:rFonts w:ascii="Lato" w:hAnsi="Lato" w:eastAsia="Lato"/>
                <w:b/>
                <w:color w:val="26384A"/>
                <w:sz w:val="22"/>
              </w:rPr>
              <w:t>Replace every bracketed prompt with entity-specific, evidence-supported information. Delete non-applicable drafting guidance only after the applicability or materiality decision is documented in the disclosure matrix. Do not treat the template as an official form or a model compliance statement.</w:t>
            </w:r>
          </w:p>
          <w:p>
            <w:pPr>
              <w:spacing w:before="40" w:after="0" w:line="254" w:lineRule="auto"/>
            </w:pPr>
            <w:r>
              <w:rPr>
                <w:rFonts w:ascii="Lato" w:hAnsi="Lato" w:eastAsia="Lato"/>
                <w:i/>
                <w:color w:val="667788"/>
                <w:sz w:val="17"/>
              </w:rPr>
              <w:t>Use together with the UK SRS S2 Climate Disclosure Matrix and a current official source pack.</w:t>
            </w:r>
          </w:p>
        </w:tc>
      </w:tr>
    </w:tbl>
    <w:p>
      <w:pPr>
        <w:spacing w:after="0"/>
      </w:pPr>
    </w:p>
    <w:p>
      <w:pPr>
        <w:pStyle w:val="Heading1"/>
      </w:pPr>
      <w:r>
        <w:t>Document control</w:t>
      </w:r>
    </w:p>
    <w:tbl>
      <w:tblPr>
        <w:tblW w:type="auto" w:w="0"/>
        <w:jc w:val="center"/>
        <w:tblLook w:firstColumn="1" w:firstRow="1" w:lastColumn="0" w:lastRow="0" w:noHBand="0" w:noVBand="1" w:val="04A0"/>
        <w:tblLayout w:type="fixed"/>
      </w:tblPr>
      <w:tblGrid>
        <w:gridCol w:w="5018"/>
        <w:gridCol w:w="5018"/>
      </w:tblGrid>
      <w:tr>
        <w:trPr>
          <w:tblHeader w:val="true"/>
        </w:trPr>
        <w:tc>
          <w:tcPr>
            <w:tcW w:type="dxa" w:w="2948"/>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Field</w:t>
            </w:r>
          </w:p>
        </w:tc>
        <w:tc>
          <w:tcPr>
            <w:tcW w:type="dxa" w:w="6860"/>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Controlled entry</w:t>
            </w:r>
          </w:p>
        </w:tc>
      </w:tr>
      <w:tr>
        <w:tc>
          <w:tcPr>
            <w:tcW w:type="dxa" w:w="2948"/>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Entity</w:t>
            </w:r>
          </w:p>
        </w:tc>
        <w:tc>
          <w:tcPr>
            <w:tcW w:type="dxa" w:w="686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 LEGAL / CONSOLIDATED REPORTING ENTITY]</w:t>
            </w:r>
          </w:p>
        </w:tc>
      </w:tr>
      <w:tr>
        <w:tc>
          <w:tcPr>
            <w:tcW w:type="dxa" w:w="2948"/>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Reporting period</w:t>
            </w:r>
          </w:p>
        </w:tc>
        <w:tc>
          <w:tcPr>
            <w:tcW w:type="dxa" w:w="686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 PERIOD]</w:t>
            </w:r>
          </w:p>
        </w:tc>
      </w:tr>
      <w:tr>
        <w:tc>
          <w:tcPr>
            <w:tcW w:type="dxa" w:w="2948"/>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Annual report location</w:t>
            </w:r>
          </w:p>
        </w:tc>
        <w:tc>
          <w:tcPr>
            <w:tcW w:type="dxa" w:w="686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 STRATEGIC REPORT / OTHER GENERAL PURPOSE FINANCIAL REPORT LOCATION]</w:t>
            </w:r>
          </w:p>
        </w:tc>
      </w:tr>
      <w:tr>
        <w:tc>
          <w:tcPr>
            <w:tcW w:type="dxa" w:w="2948"/>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UK SRS reporting status</w:t>
            </w:r>
          </w:p>
        </w:tc>
        <w:tc>
          <w:tcPr>
            <w:tcW w:type="dxa" w:w="686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[VOLUNTARY / CURRENT BINDING ROUTE — CONFIRM]</w:t>
            </w:r>
          </w:p>
        </w:tc>
      </w:tr>
      <w:tr>
        <w:tc>
          <w:tcPr>
            <w:tcW w:type="dxa" w:w="2948"/>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UK SRS claim</w:t>
            </w:r>
          </w:p>
        </w:tc>
        <w:tc>
          <w:tcPr>
            <w:tcW w:type="dxa" w:w="686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[DRAFT CLAIM — SUBJECT TO FINAL MATRIX AND APPROVAL]</w:t>
            </w:r>
          </w:p>
        </w:tc>
      </w:tr>
      <w:tr>
        <w:tc>
          <w:tcPr>
            <w:tcW w:type="dxa" w:w="2948"/>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Prepared by</w:t>
            </w:r>
          </w:p>
        </w:tc>
        <w:tc>
          <w:tcPr>
            <w:tcW w:type="dxa" w:w="686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[NAME / ROLE]</w:t>
            </w:r>
          </w:p>
        </w:tc>
      </w:tr>
      <w:tr>
        <w:tc>
          <w:tcPr>
            <w:tcW w:type="dxa" w:w="2948"/>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Technical reviewer</w:t>
            </w:r>
          </w:p>
        </w:tc>
        <w:tc>
          <w:tcPr>
            <w:tcW w:type="dxa" w:w="686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[NAME / ROLE]</w:t>
            </w:r>
          </w:p>
        </w:tc>
      </w:tr>
      <w:tr>
        <w:tc>
          <w:tcPr>
            <w:tcW w:type="dxa" w:w="2948"/>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CFO approval</w:t>
            </w:r>
          </w:p>
        </w:tc>
        <w:tc>
          <w:tcPr>
            <w:tcW w:type="dxa" w:w="686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[DATE / STATUS]</w:t>
            </w:r>
          </w:p>
        </w:tc>
      </w:tr>
      <w:tr>
        <w:tc>
          <w:tcPr>
            <w:tcW w:type="dxa" w:w="2948"/>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Audit committee</w:t>
            </w:r>
          </w:p>
        </w:tc>
        <w:tc>
          <w:tcPr>
            <w:tcW w:type="dxa" w:w="686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[DATE / STATUS]</w:t>
            </w:r>
          </w:p>
        </w:tc>
      </w:tr>
      <w:tr>
        <w:tc>
          <w:tcPr>
            <w:tcW w:type="dxa" w:w="2948"/>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Board approval</w:t>
            </w:r>
          </w:p>
        </w:tc>
        <w:tc>
          <w:tcPr>
            <w:tcW w:type="dxa" w:w="686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[DATE / STATUS]</w:t>
            </w:r>
          </w:p>
        </w:tc>
      </w:tr>
      <w:tr>
        <w:tc>
          <w:tcPr>
            <w:tcW w:type="dxa" w:w="2948"/>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color w:val="173F65"/>
                <w:sz w:val="17"/>
              </w:rPr>
              <w:t>Version and release date</w:t>
            </w:r>
          </w:p>
        </w:tc>
        <w:tc>
          <w:tcPr>
            <w:tcW w:type="dxa" w:w="686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[VERSION / DATE / ARCHIVE LOCATION]</w:t>
            </w:r>
          </w:p>
        </w:tc>
      </w:tr>
    </w:tbl>
    <w:p>
      <w:pPr>
        <w:spacing w:after="0"/>
      </w:pPr>
    </w:p>
    <w:p>
      <w:pPr>
        <w:pStyle w:val="Heading1"/>
      </w:pPr>
      <w:r>
        <w:t>Suggested contents</w:t>
      </w:r>
    </w:p>
    <w:tbl>
      <w:tblPr>
        <w:tblW w:type="auto" w:w="0"/>
        <w:jc w:val="center"/>
        <w:tblLook w:firstColumn="1" w:firstRow="1" w:lastColumn="0" w:lastRow="0" w:noHBand="0" w:noVBand="1" w:val="04A0"/>
        <w:tblLayout w:type="fixed"/>
      </w:tblPr>
      <w:tblGrid>
        <w:gridCol w:w="3345"/>
        <w:gridCol w:w="3345"/>
        <w:gridCol w:w="3345"/>
      </w:tblGrid>
      <w:tr>
        <w:trPr>
          <w:tblHeader w:val="true"/>
        </w:trPr>
        <w:tc>
          <w:tcPr>
            <w:tcW w:type="dxa" w:w="567"/>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w:t>
            </w:r>
          </w:p>
        </w:tc>
        <w:tc>
          <w:tcPr>
            <w:tcW w:type="dxa" w:w="6520"/>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Section</w:t>
            </w:r>
          </w:p>
        </w:tc>
        <w:tc>
          <w:tcPr>
            <w:tcW w:type="dxa" w:w="2721"/>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Working location / pages</w:t>
            </w:r>
          </w:p>
        </w:tc>
      </w:tr>
      <w:tr>
        <w:tc>
          <w:tcPr>
            <w:tcW w:type="dxa" w:w="567"/>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1</w:t>
            </w:r>
          </w:p>
        </w:tc>
        <w:tc>
          <w:tcPr>
            <w:tcW w:type="dxa" w:w="652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Basis of preparation and statement of compliance</w:t>
            </w:r>
          </w:p>
        </w:tc>
        <w:tc>
          <w:tcPr>
            <w:tcW w:type="dxa" w:w="272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2</w:t>
            </w:r>
          </w:p>
        </w:tc>
        <w:tc>
          <w:tcPr>
            <w:tcW w:type="dxa" w:w="652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Governance</w:t>
            </w:r>
          </w:p>
        </w:tc>
        <w:tc>
          <w:tcPr>
            <w:tcW w:type="dxa" w:w="272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3</w:t>
            </w:r>
          </w:p>
        </w:tc>
        <w:tc>
          <w:tcPr>
            <w:tcW w:type="dxa" w:w="652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Climate-related risks and opportunities</w:t>
            </w:r>
          </w:p>
        </w:tc>
        <w:tc>
          <w:tcPr>
            <w:tcW w:type="dxa" w:w="272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4</w:t>
            </w:r>
          </w:p>
        </w:tc>
        <w:tc>
          <w:tcPr>
            <w:tcW w:type="dxa" w:w="652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Strategy, transition activities and resources</w:t>
            </w:r>
          </w:p>
        </w:tc>
        <w:tc>
          <w:tcPr>
            <w:tcW w:type="dxa" w:w="272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5</w:t>
            </w:r>
          </w:p>
        </w:tc>
        <w:tc>
          <w:tcPr>
            <w:tcW w:type="dxa" w:w="652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Scenario analysis and climate resilience</w:t>
            </w:r>
          </w:p>
        </w:tc>
        <w:tc>
          <w:tcPr>
            <w:tcW w:type="dxa" w:w="272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6</w:t>
            </w:r>
          </w:p>
        </w:tc>
        <w:tc>
          <w:tcPr>
            <w:tcW w:type="dxa" w:w="652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Current and anticipated financial effects</w:t>
            </w:r>
          </w:p>
        </w:tc>
        <w:tc>
          <w:tcPr>
            <w:tcW w:type="dxa" w:w="272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7</w:t>
            </w:r>
          </w:p>
        </w:tc>
        <w:tc>
          <w:tcPr>
            <w:tcW w:type="dxa" w:w="652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Risk management</w:t>
            </w:r>
          </w:p>
        </w:tc>
        <w:tc>
          <w:tcPr>
            <w:tcW w:type="dxa" w:w="272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8</w:t>
            </w:r>
          </w:p>
        </w:tc>
        <w:tc>
          <w:tcPr>
            <w:tcW w:type="dxa" w:w="652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Climate metrics and targets</w:t>
            </w:r>
          </w:p>
        </w:tc>
        <w:tc>
          <w:tcPr>
            <w:tcW w:type="dxa" w:w="272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9</w:t>
            </w:r>
          </w:p>
        </w:tc>
        <w:tc>
          <w:tcPr>
            <w:tcW w:type="dxa" w:w="652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GHG emissions and financed emissions</w:t>
            </w:r>
          </w:p>
        </w:tc>
        <w:tc>
          <w:tcPr>
            <w:tcW w:type="dxa" w:w="272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10</w:t>
            </w:r>
          </w:p>
        </w:tc>
        <w:tc>
          <w:tcPr>
            <w:tcW w:type="dxa" w:w="6520"/>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Judgements, estimates, provisions and changes</w:t>
            </w:r>
          </w:p>
        </w:tc>
        <w:tc>
          <w:tcPr>
            <w:tcW w:type="dxa" w:w="272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567"/>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11</w:t>
            </w:r>
          </w:p>
        </w:tc>
        <w:tc>
          <w:tcPr>
            <w:tcW w:type="dxa" w:w="6520"/>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Disclosure index and cross-references</w:t>
            </w:r>
          </w:p>
        </w:tc>
        <w:tc>
          <w:tcPr>
            <w:tcW w:type="dxa" w:w="272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bl>
    <w:p>
      <w:pPr>
        <w:spacing w:after="0"/>
      </w:pPr>
    </w:p>
    <w:p>
      <w:pPr>
        <w:pStyle w:val="Heading1"/>
      </w:pPr>
      <w:r>
        <w:t>1. Basis of preparation and statement of compliance</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Explain what report has been prepared, for which entity and period, how material information was selected, where the information is located and which UK provisions or reporting routes affect the claim.</w:t>
            </w:r>
          </w:p>
        </w:tc>
      </w:tr>
    </w:tbl>
    <w:p>
      <w:pPr>
        <w:spacing w:after="0"/>
      </w:pPr>
    </w:p>
    <w:p>
      <w:pPr>
        <w:pStyle w:val="Heading2"/>
      </w:pPr>
      <w:r>
        <w:t>1.1 Reporting basis</w:t>
      </w:r>
    </w:p>
    <w:p>
      <w:pPr>
        <w:spacing w:before="0" w:after="80" w:line="269" w:lineRule="auto"/>
      </w:pPr>
      <w:r>
        <w:rPr>
          <w:rFonts w:ascii="Lato" w:hAnsi="Lato" w:eastAsia="Lato"/>
          <w:i w:val="0"/>
          <w:color w:val="26384A"/>
          <w:sz w:val="19"/>
        </w:rPr>
        <w:t>[INSERT: reporting entity; same entity as financial statements; reporting period; currency and units where relevant; whether information is consolidated; material acquisitions/disposals; climate-specific boundary distinctions.]</w:t>
      </w:r>
    </w:p>
    <w:p>
      <w:pPr>
        <w:pStyle w:val="Heading2"/>
      </w:pPr>
      <w:r>
        <w:t>1.2 Materiality</w:t>
      </w:r>
    </w:p>
    <w:p>
      <w:pPr>
        <w:spacing w:before="0" w:after="80" w:line="269" w:lineRule="auto"/>
      </w:pPr>
      <w:r>
        <w:rPr>
          <w:rFonts w:ascii="Lato" w:hAnsi="Lato" w:eastAsia="Lato"/>
          <w:i w:val="0"/>
          <w:color w:val="26384A"/>
          <w:sz w:val="19"/>
        </w:rPr>
        <w:t>[INSERT: how material climate-related risks and opportunities were identified for primary users; nature and magnitude; sources; governance; changes from prior assessment.]</w:t>
      </w:r>
    </w:p>
    <w:p>
      <w:pPr>
        <w:pStyle w:val="Heading2"/>
      </w:pPr>
      <w:r>
        <w:t>1.3 Sources and industries used</w:t>
      </w:r>
    </w:p>
    <w:p>
      <w:pPr>
        <w:spacing w:before="0" w:after="80" w:line="269" w:lineRule="auto"/>
      </w:pPr>
      <w:r>
        <w:rPr>
          <w:rFonts w:ascii="Lato" w:hAnsi="Lato" w:eastAsia="Lato"/>
          <w:i w:val="0"/>
          <w:color w:val="26384A"/>
          <w:sz w:val="19"/>
        </w:rPr>
        <w:t>[INSERT: UK SRS sources; industries and guidance actually applied; entity-developed metrics; source versions.]</w:t>
      </w:r>
    </w:p>
    <w:p>
      <w:pPr>
        <w:pStyle w:val="Heading2"/>
      </w:pPr>
      <w:r>
        <w:t>1.4 Location and cross-references</w:t>
      </w:r>
    </w:p>
    <w:p>
      <w:pPr>
        <w:spacing w:before="0" w:after="80" w:line="269" w:lineRule="auto"/>
      </w:pPr>
      <w:r>
        <w:rPr>
          <w:rFonts w:ascii="Lato" w:hAnsi="Lato" w:eastAsia="Lato"/>
          <w:i w:val="0"/>
          <w:color w:val="26384A"/>
          <w:sz w:val="19"/>
        </w:rPr>
        <w:t>[INSERT: annual-report location; incorporation-by-reference policy; exact referenced documents/pages; same-time availability and archive controls.]</w:t>
      </w:r>
    </w:p>
    <w:p>
      <w:pPr>
        <w:pStyle w:val="Heading2"/>
      </w:pPr>
      <w:r>
        <w:t>1.5 Provisions and statement of compliance</w:t>
      </w:r>
    </w:p>
    <w:p>
      <w:pPr>
        <w:spacing w:before="0" w:after="80" w:line="269" w:lineRule="auto"/>
      </w:pPr>
      <w:r>
        <w:rPr>
          <w:rFonts w:ascii="Lato" w:hAnsi="Lato" w:eastAsia="Lato"/>
          <w:i w:val="0"/>
          <w:color w:val="26384A"/>
          <w:sz w:val="19"/>
        </w:rPr>
        <w:t>[INSERT: exact UK SRS E3/C3/C4 or other provision used; condition; information affected; comparative effect; binding-route restriction; effect on UK SRS S1/S2 and any IFRS claim.]</w:t>
      </w:r>
    </w:p>
    <w:p>
      <w:pPr>
        <w:pStyle w:val="Heading2"/>
      </w:pPr>
      <w:r>
        <w:t>Evidence and control prompts</w:t>
      </w:r>
    </w:p>
    <w:p>
      <w:pPr>
        <w:pStyle w:val="ListBullet"/>
        <w:spacing w:before="0" w:after="60" w:line="259" w:lineRule="auto"/>
      </w:pPr>
      <w:r>
        <w:rPr>
          <w:rFonts w:ascii="Lato" w:hAnsi="Lato" w:eastAsia="Lato"/>
          <w:color w:val="26384A"/>
          <w:sz w:val="19"/>
        </w:rPr>
        <w:t>☐ Reporting entity reconciled to financial statements.</w:t>
      </w:r>
    </w:p>
    <w:p>
      <w:pPr>
        <w:pStyle w:val="ListBullet"/>
        <w:spacing w:before="0" w:after="60" w:line="259" w:lineRule="auto"/>
      </w:pPr>
      <w:r>
        <w:rPr>
          <w:rFonts w:ascii="Lato" w:hAnsi="Lato" w:eastAsia="Lato"/>
          <w:color w:val="26384A"/>
          <w:sz w:val="19"/>
        </w:rPr>
        <w:t>☐ Materiality record approved.</w:t>
      </w:r>
    </w:p>
    <w:p>
      <w:pPr>
        <w:pStyle w:val="ListBullet"/>
        <w:spacing w:before="0" w:after="60" w:line="259" w:lineRule="auto"/>
      </w:pPr>
      <w:r>
        <w:rPr>
          <w:rFonts w:ascii="Lato" w:hAnsi="Lato" w:eastAsia="Lato"/>
          <w:color w:val="26384A"/>
          <w:sz w:val="19"/>
        </w:rPr>
        <w:t>☐ Source and industry register complete.</w:t>
      </w:r>
    </w:p>
    <w:p>
      <w:pPr>
        <w:pStyle w:val="ListBullet"/>
        <w:spacing w:before="0" w:after="60" w:line="259" w:lineRule="auto"/>
      </w:pPr>
      <w:r>
        <w:rPr>
          <w:rFonts w:ascii="Lato" w:hAnsi="Lato" w:eastAsia="Lato"/>
          <w:color w:val="26384A"/>
          <w:sz w:val="19"/>
        </w:rPr>
        <w:t>☐ Cross-references tested at release.</w:t>
      </w:r>
    </w:p>
    <w:p>
      <w:pPr>
        <w:pStyle w:val="ListBullet"/>
        <w:spacing w:before="0" w:after="60" w:line="259" w:lineRule="auto"/>
      </w:pPr>
      <w:r>
        <w:rPr>
          <w:rFonts w:ascii="Lato" w:hAnsi="Lato" w:eastAsia="Lato"/>
          <w:color w:val="26384A"/>
          <w:sz w:val="19"/>
        </w:rPr>
        <w:t>☐ Provision and claim memorandum approved.</w:t>
      </w:r>
    </w:p>
    <w:p>
      <w:pPr>
        <w:pStyle w:val="Heading1"/>
      </w:pPr>
      <w:r>
        <w:t>2. Governance</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Describe actual oversight and management processes, not only governance structure.</w:t>
            </w:r>
          </w:p>
        </w:tc>
      </w:tr>
    </w:tbl>
    <w:p>
      <w:pPr>
        <w:spacing w:after="0"/>
      </w:pPr>
    </w:p>
    <w:p>
      <w:pPr>
        <w:pStyle w:val="Heading2"/>
      </w:pPr>
      <w:r>
        <w:t>2.1 Governance body oversight</w:t>
      </w:r>
    </w:p>
    <w:p>
      <w:pPr>
        <w:spacing w:before="0" w:after="80" w:line="269" w:lineRule="auto"/>
      </w:pPr>
      <w:r>
        <w:rPr>
          <w:rFonts w:ascii="Lato" w:hAnsi="Lato" w:eastAsia="Lato"/>
          <w:i w:val="0"/>
          <w:color w:val="26384A"/>
          <w:sz w:val="19"/>
        </w:rPr>
        <w:t>[INSERT: board/committee mandate; responsibilities; information and frequency; skills; strategy and transaction decisions; target monitoring; decisions during period; changes.]</w:t>
      </w:r>
    </w:p>
    <w:p>
      <w:pPr>
        <w:pStyle w:val="Heading2"/>
      </w:pPr>
      <w:r>
        <w:t>2.2 Management roles and controls</w:t>
      </w:r>
    </w:p>
    <w:p>
      <w:pPr>
        <w:spacing w:before="0" w:after="80" w:line="269" w:lineRule="auto"/>
      </w:pPr>
      <w:r>
        <w:rPr>
          <w:rFonts w:ascii="Lato" w:hAnsi="Lato" w:eastAsia="Lato"/>
          <w:i w:val="0"/>
          <w:color w:val="26384A"/>
          <w:sz w:val="19"/>
        </w:rPr>
        <w:t>[INSERT: named management roles; reporting lines; data and control responsibilities; escalation; internal committees; management representations.]</w:t>
      </w:r>
    </w:p>
    <w:p>
      <w:pPr>
        <w:pStyle w:val="Heading2"/>
      </w:pPr>
      <w:r>
        <w:t>2.3 Remuneration</w:t>
      </w:r>
    </w:p>
    <w:p>
      <w:pPr>
        <w:spacing w:before="0" w:after="80" w:line="269" w:lineRule="auto"/>
      </w:pPr>
      <w:r>
        <w:rPr>
          <w:rFonts w:ascii="Lato" w:hAnsi="Lato" w:eastAsia="Lato"/>
          <w:i w:val="0"/>
          <w:color w:val="26384A"/>
          <w:sz w:val="19"/>
        </w:rPr>
        <w:t>[INSERT: whether and how climate considerations enter remuneration; population; metric; weighting; outcome; governance approval.]</w:t>
      </w:r>
    </w:p>
    <w:p>
      <w:pPr>
        <w:pStyle w:val="Heading2"/>
      </w:pPr>
      <w:r>
        <w:t>Evidence and control prompts</w:t>
      </w:r>
    </w:p>
    <w:p>
      <w:pPr>
        <w:pStyle w:val="ListBullet"/>
        <w:spacing w:before="0" w:after="60" w:line="259" w:lineRule="auto"/>
      </w:pPr>
      <w:r>
        <w:rPr>
          <w:rFonts w:ascii="Lato" w:hAnsi="Lato" w:eastAsia="Lato"/>
          <w:color w:val="26384A"/>
          <w:sz w:val="19"/>
        </w:rPr>
        <w:t>☐ Mandates and committee terms current.</w:t>
      </w:r>
    </w:p>
    <w:p>
      <w:pPr>
        <w:pStyle w:val="ListBullet"/>
        <w:spacing w:before="0" w:after="60" w:line="259" w:lineRule="auto"/>
      </w:pPr>
      <w:r>
        <w:rPr>
          <w:rFonts w:ascii="Lato" w:hAnsi="Lato" w:eastAsia="Lato"/>
          <w:color w:val="26384A"/>
          <w:sz w:val="19"/>
        </w:rPr>
        <w:t>☐ Board papers and minutes support claims.</w:t>
      </w:r>
    </w:p>
    <w:p>
      <w:pPr>
        <w:pStyle w:val="ListBullet"/>
        <w:spacing w:before="0" w:after="60" w:line="259" w:lineRule="auto"/>
      </w:pPr>
      <w:r>
        <w:rPr>
          <w:rFonts w:ascii="Lato" w:hAnsi="Lato" w:eastAsia="Lato"/>
          <w:color w:val="26384A"/>
          <w:sz w:val="19"/>
        </w:rPr>
        <w:t>☐ Management role descriptions match actual operation.</w:t>
      </w:r>
    </w:p>
    <w:p>
      <w:pPr>
        <w:pStyle w:val="ListBullet"/>
        <w:spacing w:before="0" w:after="60" w:line="259" w:lineRule="auto"/>
      </w:pPr>
      <w:r>
        <w:rPr>
          <w:rFonts w:ascii="Lato" w:hAnsi="Lato" w:eastAsia="Lato"/>
          <w:color w:val="26384A"/>
          <w:sz w:val="19"/>
        </w:rPr>
        <w:t>☐ Remuneration data reconciled and approved.</w:t>
      </w:r>
    </w:p>
    <w:p>
      <w:pPr>
        <w:pStyle w:val="Heading1"/>
      </w:pPr>
      <w:r>
        <w:t>3. Climate-related risks and opportunities</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Identify material physical and transition risks and climate opportunities, their time horizons, concentrations and transmission pathways.</w:t>
            </w:r>
          </w:p>
        </w:tc>
      </w:tr>
    </w:tbl>
    <w:p>
      <w:pPr>
        <w:spacing w:after="0"/>
      </w:pPr>
    </w:p>
    <w:p>
      <w:pPr>
        <w:pStyle w:val="Heading2"/>
      </w:pPr>
      <w:r>
        <w:t>3.1 Time horizons</w:t>
      </w:r>
    </w:p>
    <w:p>
      <w:pPr>
        <w:spacing w:before="0" w:after="80" w:line="269" w:lineRule="auto"/>
      </w:pPr>
      <w:r>
        <w:rPr>
          <w:rFonts w:ascii="Lato" w:hAnsi="Lato" w:eastAsia="Lato"/>
          <w:i w:val="0"/>
          <w:color w:val="26384A"/>
          <w:sz w:val="19"/>
        </w:rPr>
        <w:t>[INSERT: dated short-, medium- and long-term horizons and relationship to planning cycles, asset lives and strategic decisions.]</w:t>
      </w:r>
    </w:p>
    <w:p>
      <w:pPr>
        <w:pStyle w:val="Heading2"/>
      </w:pPr>
      <w:r>
        <w:t>3.2 Material matters table</w:t>
      </w:r>
    </w:p>
    <w:p>
      <w:pPr>
        <w:spacing w:before="0" w:after="80" w:line="269" w:lineRule="auto"/>
      </w:pPr>
      <w:r>
        <w:rPr>
          <w:rFonts w:ascii="Lato" w:hAnsi="Lato" w:eastAsia="Lato"/>
          <w:i w:val="0"/>
          <w:color w:val="26384A"/>
          <w:sz w:val="19"/>
        </w:rPr>
        <w:t>[INSERT TABLE: ID; risk/opportunity; physical/transition/opportunity; time horizon; geography/activity/value chain; likelihood/magnitude; financial pathway; owner; monitoring indicator.]</w:t>
      </w:r>
    </w:p>
    <w:p>
      <w:pPr>
        <w:pStyle w:val="Heading2"/>
      </w:pPr>
      <w:r>
        <w:t>3.3 Changes from previous period</w:t>
      </w:r>
    </w:p>
    <w:p>
      <w:pPr>
        <w:spacing w:before="0" w:after="80" w:line="269" w:lineRule="auto"/>
      </w:pPr>
      <w:r>
        <w:rPr>
          <w:rFonts w:ascii="Lato" w:hAnsi="Lato" w:eastAsia="Lato"/>
          <w:i w:val="0"/>
          <w:color w:val="26384A"/>
          <w:sz w:val="19"/>
        </w:rPr>
        <w:t>[INSERT: new, changed, reprioritised or removed matters and reasons.]</w:t>
      </w:r>
    </w:p>
    <w:p>
      <w:pPr>
        <w:pStyle w:val="Heading2"/>
      </w:pPr>
      <w:r>
        <w:t>Evidence and control prompts</w:t>
      </w:r>
    </w:p>
    <w:p>
      <w:pPr>
        <w:pStyle w:val="ListBullet"/>
        <w:spacing w:before="0" w:after="60" w:line="259" w:lineRule="auto"/>
      </w:pPr>
      <w:r>
        <w:rPr>
          <w:rFonts w:ascii="Lato" w:hAnsi="Lato" w:eastAsia="Lato"/>
          <w:color w:val="26384A"/>
          <w:sz w:val="19"/>
        </w:rPr>
        <w:t>☐ Risk and opportunity register complete.</w:t>
      </w:r>
    </w:p>
    <w:p>
      <w:pPr>
        <w:pStyle w:val="ListBullet"/>
        <w:spacing w:before="0" w:after="60" w:line="259" w:lineRule="auto"/>
      </w:pPr>
      <w:r>
        <w:rPr>
          <w:rFonts w:ascii="Lato" w:hAnsi="Lato" w:eastAsia="Lato"/>
          <w:color w:val="26384A"/>
          <w:sz w:val="19"/>
        </w:rPr>
        <w:t>☐ Materiality rationale retained.</w:t>
      </w:r>
    </w:p>
    <w:p>
      <w:pPr>
        <w:pStyle w:val="ListBullet"/>
        <w:spacing w:before="0" w:after="60" w:line="259" w:lineRule="auto"/>
      </w:pPr>
      <w:r>
        <w:rPr>
          <w:rFonts w:ascii="Lato" w:hAnsi="Lato" w:eastAsia="Lato"/>
          <w:color w:val="26384A"/>
          <w:sz w:val="19"/>
        </w:rPr>
        <w:t>☐ Concentrations and value-chain links tested.</w:t>
      </w:r>
    </w:p>
    <w:p>
      <w:pPr>
        <w:pStyle w:val="ListBullet"/>
        <w:spacing w:before="0" w:after="60" w:line="259" w:lineRule="auto"/>
      </w:pPr>
      <w:r>
        <w:rPr>
          <w:rFonts w:ascii="Lato" w:hAnsi="Lato" w:eastAsia="Lato"/>
          <w:color w:val="26384A"/>
          <w:sz w:val="19"/>
        </w:rPr>
        <w:t>☐ Financial pathways mapped.</w:t>
      </w:r>
    </w:p>
    <w:p>
      <w:pPr>
        <w:pStyle w:val="Heading1"/>
      </w:pPr>
      <w:r>
        <w:t>4. Strategy, transition activities and resources</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Explain how material climate matters affect business model, value chain, decision-making and resource allocation.</w:t>
            </w:r>
          </w:p>
        </w:tc>
      </w:tr>
    </w:tbl>
    <w:p>
      <w:pPr>
        <w:spacing w:after="0"/>
      </w:pPr>
    </w:p>
    <w:p>
      <w:pPr>
        <w:pStyle w:val="Heading2"/>
      </w:pPr>
      <w:r>
        <w:t>4.1 Business model and value chain effects</w:t>
      </w:r>
    </w:p>
    <w:p>
      <w:pPr>
        <w:spacing w:before="0" w:after="80" w:line="269" w:lineRule="auto"/>
      </w:pPr>
      <w:r>
        <w:rPr>
          <w:rFonts w:ascii="Lato" w:hAnsi="Lato" w:eastAsia="Lato"/>
          <w:i w:val="0"/>
          <w:color w:val="26384A"/>
          <w:sz w:val="19"/>
        </w:rPr>
        <w:t>[INSERT: affected products, services, assets, markets, suppliers, customers, financing and dependencies.]</w:t>
      </w:r>
    </w:p>
    <w:p>
      <w:pPr>
        <w:pStyle w:val="Heading2"/>
      </w:pPr>
      <w:r>
        <w:t>4.2 Strategic response</w:t>
      </w:r>
    </w:p>
    <w:p>
      <w:pPr>
        <w:spacing w:before="0" w:after="80" w:line="269" w:lineRule="auto"/>
      </w:pPr>
      <w:r>
        <w:rPr>
          <w:rFonts w:ascii="Lato" w:hAnsi="Lato" w:eastAsia="Lato"/>
          <w:i w:val="0"/>
          <w:color w:val="26384A"/>
          <w:sz w:val="19"/>
        </w:rPr>
        <w:t>[INSERT: actions, trade-offs, direct/indirect mitigation, adaptation, opportunities, changes to strategy and progress.]</w:t>
      </w:r>
    </w:p>
    <w:p>
      <w:pPr>
        <w:pStyle w:val="Heading2"/>
      </w:pPr>
      <w:r>
        <w:t>4.3 Transition plan — where one exists</w:t>
      </w:r>
    </w:p>
    <w:p>
      <w:pPr>
        <w:spacing w:before="0" w:after="80" w:line="269" w:lineRule="auto"/>
      </w:pPr>
      <w:r>
        <w:rPr>
          <w:rFonts w:ascii="Lato" w:hAnsi="Lato" w:eastAsia="Lato"/>
          <w:i w:val="0"/>
          <w:color w:val="26384A"/>
          <w:sz w:val="19"/>
        </w:rPr>
        <w:t>[INSERT: plan status, objective, targets, actions, resources, assumptions, dependencies, governance and progress. State clearly if no formal plan exists.]</w:t>
      </w:r>
    </w:p>
    <w:p>
      <w:pPr>
        <w:pStyle w:val="Heading2"/>
      </w:pPr>
      <w:r>
        <w:t>4.4 Resources and capital deployment</w:t>
      </w:r>
    </w:p>
    <w:p>
      <w:pPr>
        <w:spacing w:before="0" w:after="80" w:line="269" w:lineRule="auto"/>
      </w:pPr>
      <w:r>
        <w:rPr>
          <w:rFonts w:ascii="Lato" w:hAnsi="Lato" w:eastAsia="Lato"/>
          <w:i w:val="0"/>
          <w:color w:val="26384A"/>
          <w:sz w:val="19"/>
        </w:rPr>
        <w:t>[INSERT: spent, committed, approved, planned and aspirational capex/opex; funding source; period; conditions; dependencies.]</w:t>
      </w:r>
    </w:p>
    <w:p>
      <w:pPr>
        <w:pStyle w:val="Heading2"/>
      </w:pPr>
      <w:r>
        <w:t>Evidence and control prompts</w:t>
      </w:r>
    </w:p>
    <w:p>
      <w:pPr>
        <w:pStyle w:val="ListBullet"/>
        <w:spacing w:before="0" w:after="60" w:line="259" w:lineRule="auto"/>
      </w:pPr>
      <w:r>
        <w:rPr>
          <w:rFonts w:ascii="Lato" w:hAnsi="Lato" w:eastAsia="Lato"/>
          <w:color w:val="26384A"/>
          <w:sz w:val="19"/>
        </w:rPr>
        <w:t>☐ Actions and resources reconciled to finance plans.</w:t>
      </w:r>
    </w:p>
    <w:p>
      <w:pPr>
        <w:pStyle w:val="ListBullet"/>
        <w:spacing w:before="0" w:after="60" w:line="259" w:lineRule="auto"/>
      </w:pPr>
      <w:r>
        <w:rPr>
          <w:rFonts w:ascii="Lato" w:hAnsi="Lato" w:eastAsia="Lato"/>
          <w:color w:val="26384A"/>
          <w:sz w:val="19"/>
        </w:rPr>
        <w:t>☐ Transition-plan claims match approved plan.</w:t>
      </w:r>
    </w:p>
    <w:p>
      <w:pPr>
        <w:pStyle w:val="ListBullet"/>
        <w:spacing w:before="0" w:after="60" w:line="259" w:lineRule="auto"/>
      </w:pPr>
      <w:r>
        <w:rPr>
          <w:rFonts w:ascii="Lato" w:hAnsi="Lato" w:eastAsia="Lato"/>
          <w:color w:val="26384A"/>
          <w:sz w:val="19"/>
        </w:rPr>
        <w:t>☐ Dependencies and conditionality are visible.</w:t>
      </w:r>
    </w:p>
    <w:p>
      <w:pPr>
        <w:pStyle w:val="ListBullet"/>
        <w:spacing w:before="0" w:after="60" w:line="259" w:lineRule="auto"/>
      </w:pPr>
      <w:r>
        <w:rPr>
          <w:rFonts w:ascii="Lato" w:hAnsi="Lato" w:eastAsia="Lato"/>
          <w:color w:val="26384A"/>
          <w:sz w:val="19"/>
        </w:rPr>
        <w:t>☐ Progress includes delays and changes.</w:t>
      </w:r>
    </w:p>
    <w:p>
      <w:pPr>
        <w:pStyle w:val="Heading1"/>
      </w:pPr>
      <w:r>
        <w:t>5. Scenario analysis and climate resilience</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Explain a commensurate scenario method and a balanced assessment of vulnerability and capacity to adapt.</w:t>
            </w:r>
          </w:p>
        </w:tc>
      </w:tr>
    </w:tbl>
    <w:p>
      <w:pPr>
        <w:spacing w:after="0"/>
      </w:pPr>
    </w:p>
    <w:p>
      <w:pPr>
        <w:pStyle w:val="Heading2"/>
      </w:pPr>
      <w:r>
        <w:t>5.1 Method and scope</w:t>
      </w:r>
    </w:p>
    <w:p>
      <w:pPr>
        <w:spacing w:before="0" w:after="80" w:line="269" w:lineRule="auto"/>
      </w:pPr>
      <w:r>
        <w:rPr>
          <w:rFonts w:ascii="Lato" w:hAnsi="Lato" w:eastAsia="Lato"/>
          <w:i w:val="0"/>
          <w:color w:val="26384A"/>
          <w:sz w:val="19"/>
        </w:rPr>
        <w:t>[INSERT: purpose; material risks/opportunities; scenario sources/versions; physical and transition pathways; geographies/assets/portfolios; time horizons; qualitative/quantitative method.]</w:t>
      </w:r>
    </w:p>
    <w:p>
      <w:pPr>
        <w:pStyle w:val="Heading2"/>
      </w:pPr>
      <w:r>
        <w:t>5.2 Assumptions and limitations</w:t>
      </w:r>
    </w:p>
    <w:p>
      <w:pPr>
        <w:spacing w:before="0" w:after="80" w:line="269" w:lineRule="auto"/>
      </w:pPr>
      <w:r>
        <w:rPr>
          <w:rFonts w:ascii="Lato" w:hAnsi="Lato" w:eastAsia="Lato"/>
          <w:i w:val="0"/>
          <w:color w:val="26384A"/>
          <w:sz w:val="19"/>
        </w:rPr>
        <w:t>[INSERT: temperature, policy, technology, demand, price, hazard, financial assumptions; exclusions; data limitations; model uncertainty.]</w:t>
      </w:r>
    </w:p>
    <w:p>
      <w:pPr>
        <w:pStyle w:val="Heading2"/>
      </w:pPr>
      <w:r>
        <w:t>5.3 Results and decision use</w:t>
      </w:r>
    </w:p>
    <w:p>
      <w:pPr>
        <w:spacing w:before="0" w:after="80" w:line="269" w:lineRule="auto"/>
      </w:pPr>
      <w:r>
        <w:rPr>
          <w:rFonts w:ascii="Lato" w:hAnsi="Lato" w:eastAsia="Lato"/>
          <w:i w:val="0"/>
          <w:color w:val="26384A"/>
          <w:sz w:val="19"/>
        </w:rPr>
        <w:t>[INSERT: vulnerabilities, sensitivities, opportunities, thresholds, strategy/capex/risk decisions and changes.]</w:t>
      </w:r>
    </w:p>
    <w:p>
      <w:pPr>
        <w:pStyle w:val="Heading2"/>
      </w:pPr>
      <w:r>
        <w:t>5.4 Capacity to adapt</w:t>
      </w:r>
    </w:p>
    <w:p>
      <w:pPr>
        <w:spacing w:before="0" w:after="80" w:line="269" w:lineRule="auto"/>
      </w:pPr>
      <w:r>
        <w:rPr>
          <w:rFonts w:ascii="Lato" w:hAnsi="Lato" w:eastAsia="Lato"/>
          <w:i w:val="0"/>
          <w:color w:val="26384A"/>
          <w:sz w:val="19"/>
        </w:rPr>
        <w:t>[INSERT: strategic options; asset flexibility; financial capacity; funding; lead times; dependencies; decision triggers; residual exposure; uncertainty.]</w:t>
      </w:r>
    </w:p>
    <w:p>
      <w:pPr>
        <w:pStyle w:val="Heading2"/>
      </w:pPr>
      <w:r>
        <w:t>Evidence and control prompts</w:t>
      </w:r>
    </w:p>
    <w:p>
      <w:pPr>
        <w:pStyle w:val="ListBullet"/>
        <w:spacing w:before="0" w:after="60" w:line="259" w:lineRule="auto"/>
      </w:pPr>
      <w:r>
        <w:rPr>
          <w:rFonts w:ascii="Lato" w:hAnsi="Lato" w:eastAsia="Lato"/>
          <w:color w:val="26384A"/>
          <w:sz w:val="19"/>
        </w:rPr>
        <w:t>☐ Scenario source and version controlled.</w:t>
      </w:r>
    </w:p>
    <w:p>
      <w:pPr>
        <w:pStyle w:val="ListBullet"/>
        <w:spacing w:before="0" w:after="60" w:line="259" w:lineRule="auto"/>
      </w:pPr>
      <w:r>
        <w:rPr>
          <w:rFonts w:ascii="Lato" w:hAnsi="Lato" w:eastAsia="Lato"/>
          <w:color w:val="26384A"/>
          <w:sz w:val="19"/>
        </w:rPr>
        <w:t>☐ Assumptions reconciled to finance planning.</w:t>
      </w:r>
    </w:p>
    <w:p>
      <w:pPr>
        <w:pStyle w:val="ListBullet"/>
        <w:spacing w:before="0" w:after="60" w:line="259" w:lineRule="auto"/>
      </w:pPr>
      <w:r>
        <w:rPr>
          <w:rFonts w:ascii="Lato" w:hAnsi="Lato" w:eastAsia="Lato"/>
          <w:color w:val="26384A"/>
          <w:sz w:val="19"/>
        </w:rPr>
        <w:t>☐ Governance challenge recorded.</w:t>
      </w:r>
    </w:p>
    <w:p>
      <w:pPr>
        <w:pStyle w:val="ListBullet"/>
        <w:spacing w:before="0" w:after="60" w:line="259" w:lineRule="auto"/>
      </w:pPr>
      <w:r>
        <w:rPr>
          <w:rFonts w:ascii="Lato" w:hAnsi="Lato" w:eastAsia="Lato"/>
          <w:color w:val="26384A"/>
          <w:sz w:val="19"/>
        </w:rPr>
        <w:t>☐ Resilience wording avoids unsupported certainty.</w:t>
      </w:r>
    </w:p>
    <w:p>
      <w:pPr>
        <w:pStyle w:val="Heading1"/>
      </w:pPr>
      <w:r>
        <w:t>6. Current and anticipated financial effects</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Connect each material climate matter to current and anticipated effects on financial position, performance and cash flows.</w:t>
            </w:r>
          </w:p>
        </w:tc>
      </w:tr>
    </w:tbl>
    <w:p>
      <w:pPr>
        <w:spacing w:after="0"/>
      </w:pPr>
    </w:p>
    <w:p>
      <w:pPr>
        <w:pStyle w:val="Heading2"/>
      </w:pPr>
      <w:r>
        <w:t>6.1 Finance bridge</w:t>
      </w:r>
    </w:p>
    <w:p>
      <w:pPr>
        <w:spacing w:before="0" w:after="80" w:line="269" w:lineRule="auto"/>
      </w:pPr>
      <w:r>
        <w:rPr>
          <w:rFonts w:ascii="Lato" w:hAnsi="Lato" w:eastAsia="Lato"/>
          <w:i w:val="0"/>
          <w:color w:val="26384A"/>
          <w:sz w:val="19"/>
        </w:rPr>
        <w:t>[INSERT TABLE: climate matter; current/anticipated; revenue; costs; assets; liabilities; cash flows; financing; capex; time horizon; amount/range/qualitative; assumptions; affected financial-statement line items.]</w:t>
      </w:r>
    </w:p>
    <w:p>
      <w:pPr>
        <w:pStyle w:val="Heading2"/>
      </w:pPr>
      <w:r>
        <w:t>6.2 Quantitative treatment</w:t>
      </w:r>
    </w:p>
    <w:p>
      <w:pPr>
        <w:spacing w:before="0" w:after="80" w:line="269" w:lineRule="auto"/>
      </w:pPr>
      <w:r>
        <w:rPr>
          <w:rFonts w:ascii="Lato" w:hAnsi="Lato" w:eastAsia="Lato"/>
          <w:i w:val="0"/>
          <w:color w:val="26384A"/>
          <w:sz w:val="19"/>
        </w:rPr>
        <w:t>[INSERT: single amounts, ranges or percentages; denominator definitions; combined information; double-counting controls.]</w:t>
      </w:r>
    </w:p>
    <w:p>
      <w:pPr>
        <w:pStyle w:val="Heading2"/>
      </w:pPr>
      <w:r>
        <w:t>6.3 Qualitative treatment or relief</w:t>
      </w:r>
    </w:p>
    <w:p>
      <w:pPr>
        <w:spacing w:before="0" w:after="80" w:line="269" w:lineRule="auto"/>
      </w:pPr>
      <w:r>
        <w:rPr>
          <w:rFonts w:ascii="Lato" w:hAnsi="Lato" w:eastAsia="Lato"/>
          <w:i w:val="0"/>
          <w:color w:val="26384A"/>
          <w:sz w:val="19"/>
        </w:rPr>
        <w:t>[INSERT: why separate quantification is not useful under the specified conditions; affected line items; substitute qualitative and combined information.]</w:t>
      </w:r>
    </w:p>
    <w:p>
      <w:pPr>
        <w:pStyle w:val="Heading2"/>
      </w:pPr>
      <w:r>
        <w:t>6.4 Consistency and uncertainty</w:t>
      </w:r>
    </w:p>
    <w:p>
      <w:pPr>
        <w:spacing w:before="0" w:after="80" w:line="269" w:lineRule="auto"/>
      </w:pPr>
      <w:r>
        <w:rPr>
          <w:rFonts w:ascii="Lato" w:hAnsi="Lato" w:eastAsia="Lato"/>
          <w:i w:val="0"/>
          <w:color w:val="26384A"/>
          <w:sz w:val="19"/>
        </w:rPr>
        <w:t>[INSERT: reconciliation to financial statements, budgets, forecasts and scenarios; measurement basis differences; sensitivity; uncertainty and limitations.]</w:t>
      </w:r>
    </w:p>
    <w:p>
      <w:pPr>
        <w:pStyle w:val="Heading2"/>
      </w:pPr>
      <w:r>
        <w:t>Evidence and control prompts</w:t>
      </w:r>
    </w:p>
    <w:p>
      <w:pPr>
        <w:pStyle w:val="ListBullet"/>
        <w:spacing w:before="0" w:after="60" w:line="259" w:lineRule="auto"/>
      </w:pPr>
      <w:r>
        <w:rPr>
          <w:rFonts w:ascii="Lato" w:hAnsi="Lato" w:eastAsia="Lato"/>
          <w:color w:val="26384A"/>
          <w:sz w:val="19"/>
        </w:rPr>
        <w:t>☐ CFO challenge complete.</w:t>
      </w:r>
    </w:p>
    <w:p>
      <w:pPr>
        <w:pStyle w:val="ListBullet"/>
        <w:spacing w:before="0" w:after="60" w:line="259" w:lineRule="auto"/>
      </w:pPr>
      <w:r>
        <w:rPr>
          <w:rFonts w:ascii="Lato" w:hAnsi="Lato" w:eastAsia="Lato"/>
          <w:color w:val="26384A"/>
          <w:sz w:val="19"/>
        </w:rPr>
        <w:t>☐ Line-item mapping retained.</w:t>
      </w:r>
    </w:p>
    <w:p>
      <w:pPr>
        <w:pStyle w:val="ListBullet"/>
        <w:spacing w:before="0" w:after="60" w:line="259" w:lineRule="auto"/>
      </w:pPr>
      <w:r>
        <w:rPr>
          <w:rFonts w:ascii="Lato" w:hAnsi="Lato" w:eastAsia="Lato"/>
          <w:color w:val="26384A"/>
          <w:sz w:val="19"/>
        </w:rPr>
        <w:t>☐ Amounts/ranges reproducible.</w:t>
      </w:r>
    </w:p>
    <w:p>
      <w:pPr>
        <w:pStyle w:val="ListBullet"/>
        <w:spacing w:before="0" w:after="60" w:line="259" w:lineRule="auto"/>
      </w:pPr>
      <w:r>
        <w:rPr>
          <w:rFonts w:ascii="Lato" w:hAnsi="Lato" w:eastAsia="Lato"/>
          <w:color w:val="26384A"/>
          <w:sz w:val="19"/>
        </w:rPr>
        <w:t>☐ Any qualitative treatment approved under the exact criteria.</w:t>
      </w:r>
    </w:p>
    <w:p>
      <w:pPr>
        <w:pStyle w:val="Heading1"/>
      </w:pPr>
      <w:r>
        <w:t>7. Risk management</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Describe climate-specific processes and evidence of integration into overall risk management.</w:t>
            </w:r>
          </w:p>
        </w:tc>
      </w:tr>
    </w:tbl>
    <w:p>
      <w:pPr>
        <w:spacing w:after="0"/>
      </w:pPr>
    </w:p>
    <w:p>
      <w:pPr>
        <w:pStyle w:val="Heading2"/>
      </w:pPr>
      <w:r>
        <w:t>7.1 Identification and assessment</w:t>
      </w:r>
    </w:p>
    <w:p>
      <w:pPr>
        <w:spacing w:before="0" w:after="80" w:line="269" w:lineRule="auto"/>
      </w:pPr>
      <w:r>
        <w:rPr>
          <w:rFonts w:ascii="Lato" w:hAnsi="Lato" w:eastAsia="Lato"/>
          <w:i w:val="0"/>
          <w:color w:val="26384A"/>
          <w:sz w:val="19"/>
        </w:rPr>
        <w:t>[INSERT: process, inputs, data sources, scenario use, likelihood/magnitude, vulnerability and opportunity assessment.]</w:t>
      </w:r>
    </w:p>
    <w:p>
      <w:pPr>
        <w:pStyle w:val="Heading2"/>
      </w:pPr>
      <w:r>
        <w:t>7.2 Prioritisation and monitoring</w:t>
      </w:r>
    </w:p>
    <w:p>
      <w:pPr>
        <w:spacing w:before="0" w:after="80" w:line="269" w:lineRule="auto"/>
      </w:pPr>
      <w:r>
        <w:rPr>
          <w:rFonts w:ascii="Lato" w:hAnsi="Lato" w:eastAsia="Lato"/>
          <w:i w:val="0"/>
          <w:color w:val="26384A"/>
          <w:sz w:val="19"/>
        </w:rPr>
        <w:t>[INSERT: thresholds, risk appetite, comparison to other risks, owners, indicators, triggers and escalation.]</w:t>
      </w:r>
    </w:p>
    <w:p>
      <w:pPr>
        <w:pStyle w:val="Heading2"/>
      </w:pPr>
      <w:r>
        <w:t>7.3 ERM integration and changes</w:t>
      </w:r>
    </w:p>
    <w:p>
      <w:pPr>
        <w:spacing w:before="0" w:after="80" w:line="269" w:lineRule="auto"/>
      </w:pPr>
      <w:r>
        <w:rPr>
          <w:rFonts w:ascii="Lato" w:hAnsi="Lato" w:eastAsia="Lato"/>
          <w:i w:val="0"/>
          <w:color w:val="26384A"/>
          <w:sz w:val="19"/>
        </w:rPr>
        <w:t>[INSERT: common taxonomy/system; committee flow; decisions; changes from prior period; differences between risk and opportunity processes.]</w:t>
      </w:r>
    </w:p>
    <w:p>
      <w:pPr>
        <w:pStyle w:val="Heading2"/>
      </w:pPr>
      <w:r>
        <w:t>Evidence and control prompts</w:t>
      </w:r>
    </w:p>
    <w:p>
      <w:pPr>
        <w:pStyle w:val="ListBullet"/>
        <w:spacing w:before="0" w:after="60" w:line="259" w:lineRule="auto"/>
      </w:pPr>
      <w:r>
        <w:rPr>
          <w:rFonts w:ascii="Lato" w:hAnsi="Lato" w:eastAsia="Lato"/>
          <w:color w:val="26384A"/>
          <w:sz w:val="19"/>
        </w:rPr>
        <w:t>☐ ERM system records support narrative.</w:t>
      </w:r>
    </w:p>
    <w:p>
      <w:pPr>
        <w:pStyle w:val="ListBullet"/>
        <w:spacing w:before="0" w:after="60" w:line="259" w:lineRule="auto"/>
      </w:pPr>
      <w:r>
        <w:rPr>
          <w:rFonts w:ascii="Lato" w:hAnsi="Lato" w:eastAsia="Lato"/>
          <w:color w:val="26384A"/>
          <w:sz w:val="19"/>
        </w:rPr>
        <w:t>☐ Prioritisation relative to other risks is visible.</w:t>
      </w:r>
    </w:p>
    <w:p>
      <w:pPr>
        <w:pStyle w:val="ListBullet"/>
        <w:spacing w:before="0" w:after="60" w:line="259" w:lineRule="auto"/>
      </w:pPr>
      <w:r>
        <w:rPr>
          <w:rFonts w:ascii="Lato" w:hAnsi="Lato" w:eastAsia="Lato"/>
          <w:color w:val="26384A"/>
          <w:sz w:val="19"/>
        </w:rPr>
        <w:t>☐ Opportunity process is controlled.</w:t>
      </w:r>
    </w:p>
    <w:p>
      <w:pPr>
        <w:pStyle w:val="ListBullet"/>
        <w:spacing w:before="0" w:after="60" w:line="259" w:lineRule="auto"/>
      </w:pPr>
      <w:r>
        <w:rPr>
          <w:rFonts w:ascii="Lato" w:hAnsi="Lato" w:eastAsia="Lato"/>
          <w:color w:val="26384A"/>
          <w:sz w:val="19"/>
        </w:rPr>
        <w:t>☐ Changes are documented.</w:t>
      </w:r>
    </w:p>
    <w:p>
      <w:pPr>
        <w:pStyle w:val="Heading1"/>
      </w:pPr>
      <w:r>
        <w:t>8. Climate metrics and targets</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Present cross-industry, industry-based and entity-specific metrics with methods, comparatives and target performance.</w:t>
            </w:r>
          </w:p>
        </w:tc>
      </w:tr>
    </w:tbl>
    <w:p>
      <w:pPr>
        <w:spacing w:after="0"/>
      </w:pPr>
    </w:p>
    <w:p>
      <w:pPr>
        <w:pStyle w:val="Heading2"/>
      </w:pPr>
      <w:r>
        <w:t>8.1 Metrics table</w:t>
      </w:r>
    </w:p>
    <w:p>
      <w:pPr>
        <w:spacing w:before="0" w:after="80" w:line="269" w:lineRule="auto"/>
      </w:pPr>
      <w:r>
        <w:rPr>
          <w:rFonts w:ascii="Lato" w:hAnsi="Lato" w:eastAsia="Lato"/>
          <w:i w:val="0"/>
          <w:color w:val="26384A"/>
          <w:sz w:val="19"/>
        </w:rPr>
        <w:t>[INSERT: GHG; transition-risk exposure; physical-risk exposure; opportunities; capital deployment; internal carbon price; remuneration; industry-based metrics; entity-specific metrics.]</w:t>
      </w:r>
    </w:p>
    <w:p>
      <w:pPr>
        <w:pStyle w:val="Heading2"/>
      </w:pPr>
      <w:r>
        <w:t>8.2 Methods and estimates</w:t>
      </w:r>
    </w:p>
    <w:p>
      <w:pPr>
        <w:spacing w:before="0" w:after="80" w:line="269" w:lineRule="auto"/>
      </w:pPr>
      <w:r>
        <w:rPr>
          <w:rFonts w:ascii="Lato" w:hAnsi="Lato" w:eastAsia="Lato"/>
          <w:i w:val="0"/>
          <w:color w:val="26384A"/>
          <w:sz w:val="19"/>
        </w:rPr>
        <w:t>[INSERT: definition, unit, formula, boundary, period, source, assumptions, estimates, limitations, changes and comparative treatment.]</w:t>
      </w:r>
    </w:p>
    <w:p>
      <w:pPr>
        <w:pStyle w:val="Heading2"/>
      </w:pPr>
      <w:r>
        <w:t>8.3 Industry information</w:t>
      </w:r>
    </w:p>
    <w:p>
      <w:pPr>
        <w:spacing w:before="0" w:after="80" w:line="269" w:lineRule="auto"/>
      </w:pPr>
      <w:r>
        <w:rPr>
          <w:rFonts w:ascii="Lato" w:hAnsi="Lato" w:eastAsia="Lato"/>
          <w:i w:val="0"/>
          <w:color w:val="26384A"/>
          <w:sz w:val="19"/>
        </w:rPr>
        <w:t>[INSERT: industries identified; sources considered and used; selected/adapted/entity-developed metrics; non-use rationale.]</w:t>
      </w:r>
    </w:p>
    <w:p>
      <w:pPr>
        <w:pStyle w:val="Heading2"/>
      </w:pPr>
      <w:r>
        <w:t>8.4 Targets and performance</w:t>
      </w:r>
    </w:p>
    <w:p>
      <w:pPr>
        <w:spacing w:before="0" w:after="80" w:line="269" w:lineRule="auto"/>
      </w:pPr>
      <w:r>
        <w:rPr>
          <w:rFonts w:ascii="Lato" w:hAnsi="Lato" w:eastAsia="Lato"/>
          <w:i w:val="0"/>
          <w:color w:val="26384A"/>
          <w:sz w:val="19"/>
        </w:rPr>
        <w:t>[INSERT: legal/voluntary status; objective; metric; scope; base period; target period; milestones; absolute/intensity; gross/net; validation; revisions; actual performance; missed milestones and response.]</w:t>
      </w:r>
    </w:p>
    <w:p>
      <w:pPr>
        <w:pStyle w:val="Heading2"/>
      </w:pPr>
      <w:r>
        <w:t>Evidence and control prompts</w:t>
      </w:r>
    </w:p>
    <w:p>
      <w:pPr>
        <w:pStyle w:val="ListBullet"/>
        <w:spacing w:before="0" w:after="60" w:line="259" w:lineRule="auto"/>
      </w:pPr>
      <w:r>
        <w:rPr>
          <w:rFonts w:ascii="Lato" w:hAnsi="Lato" w:eastAsia="Lato"/>
          <w:color w:val="26384A"/>
          <w:sz w:val="19"/>
        </w:rPr>
        <w:t>☐ Data dictionary approved.</w:t>
      </w:r>
    </w:p>
    <w:p>
      <w:pPr>
        <w:pStyle w:val="ListBullet"/>
        <w:spacing w:before="0" w:after="60" w:line="259" w:lineRule="auto"/>
      </w:pPr>
      <w:r>
        <w:rPr>
          <w:rFonts w:ascii="Lato" w:hAnsi="Lato" w:eastAsia="Lato"/>
          <w:color w:val="26384A"/>
          <w:sz w:val="19"/>
        </w:rPr>
        <w:t>☐ Source/industry statement complete.</w:t>
      </w:r>
    </w:p>
    <w:p>
      <w:pPr>
        <w:pStyle w:val="ListBullet"/>
        <w:spacing w:before="0" w:after="60" w:line="259" w:lineRule="auto"/>
      </w:pPr>
      <w:r>
        <w:rPr>
          <w:rFonts w:ascii="Lato" w:hAnsi="Lato" w:eastAsia="Lato"/>
          <w:color w:val="26384A"/>
          <w:sz w:val="19"/>
        </w:rPr>
        <w:t>☐ Target boundaries reconciled.</w:t>
      </w:r>
    </w:p>
    <w:p>
      <w:pPr>
        <w:pStyle w:val="ListBullet"/>
        <w:spacing w:before="0" w:after="60" w:line="259" w:lineRule="auto"/>
      </w:pPr>
      <w:r>
        <w:rPr>
          <w:rFonts w:ascii="Lato" w:hAnsi="Lato" w:eastAsia="Lato"/>
          <w:color w:val="26384A"/>
          <w:sz w:val="19"/>
        </w:rPr>
        <w:t>☐ Performance and revisions independently reviewed.</w:t>
      </w:r>
    </w:p>
    <w:p>
      <w:pPr>
        <w:pStyle w:val="Heading1"/>
      </w:pPr>
      <w:r>
        <w:t>9. GHG emissions and financed emissions</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Provide a transparent gross inventory and applicable financed-emissions information without netting carbon credits.</w:t>
            </w:r>
          </w:p>
        </w:tc>
      </w:tr>
    </w:tbl>
    <w:p>
      <w:pPr>
        <w:spacing w:after="0"/>
      </w:pPr>
    </w:p>
    <w:p>
      <w:pPr>
        <w:pStyle w:val="Heading2"/>
      </w:pPr>
      <w:r>
        <w:t>9.1 GHG table</w:t>
      </w:r>
    </w:p>
    <w:p>
      <w:pPr>
        <w:spacing w:before="0" w:after="80" w:line="269" w:lineRule="auto"/>
      </w:pPr>
      <w:r>
        <w:rPr>
          <w:rFonts w:ascii="Lato" w:hAnsi="Lato" w:eastAsia="Lato"/>
          <w:i w:val="0"/>
          <w:color w:val="26384A"/>
          <w:sz w:val="19"/>
        </w:rPr>
        <w:t>[INSERT: absolute gross Scope 1, Scope 2 location-based and Scope 3; tonnes CO2e; consolidated group/other investee disaggregation; comparatives.]</w:t>
      </w:r>
    </w:p>
    <w:p>
      <w:pPr>
        <w:pStyle w:val="Heading2"/>
      </w:pPr>
      <w:r>
        <w:t>9.2 Organisational boundary and method</w:t>
      </w:r>
    </w:p>
    <w:p>
      <w:pPr>
        <w:spacing w:before="0" w:after="80" w:line="269" w:lineRule="auto"/>
      </w:pPr>
      <w:r>
        <w:rPr>
          <w:rFonts w:ascii="Lato" w:hAnsi="Lato" w:eastAsia="Lato"/>
          <w:i w:val="0"/>
          <w:color w:val="26384A"/>
          <w:sz w:val="19"/>
        </w:rPr>
        <w:t>[INSERT: consolidation method; treatment of subsidiaries, associates, JVs, leases, acquisitions/disposals; jurisdictional method; GHG Protocol use.]</w:t>
      </w:r>
    </w:p>
    <w:p>
      <w:pPr>
        <w:pStyle w:val="Heading2"/>
      </w:pPr>
      <w:r>
        <w:t>9.3 Scope 2</w:t>
      </w:r>
    </w:p>
    <w:p>
      <w:pPr>
        <w:spacing w:before="0" w:after="80" w:line="269" w:lineRule="auto"/>
      </w:pPr>
      <w:r>
        <w:rPr>
          <w:rFonts w:ascii="Lato" w:hAnsi="Lato" w:eastAsia="Lato"/>
          <w:i w:val="0"/>
          <w:color w:val="26384A"/>
          <w:sz w:val="19"/>
        </w:rPr>
        <w:t>[INSERT: location-based amount; contractual instruments; renewable contracts/certificates and evidence.]</w:t>
      </w:r>
    </w:p>
    <w:p>
      <w:pPr>
        <w:pStyle w:val="Heading2"/>
      </w:pPr>
      <w:r>
        <w:t>9.4 Scope 3</w:t>
      </w:r>
    </w:p>
    <w:p>
      <w:pPr>
        <w:spacing w:before="0" w:after="80" w:line="269" w:lineRule="auto"/>
      </w:pPr>
      <w:r>
        <w:rPr>
          <w:rFonts w:ascii="Lato" w:hAnsi="Lato" w:eastAsia="Lato"/>
          <w:i w:val="0"/>
          <w:color w:val="26384A"/>
          <w:sz w:val="19"/>
        </w:rPr>
        <w:t>[INSERT: all 15 categories considered; relevant categories; method; inputs; primary/secondary data; estimates; limitations; reassessment and improvement plan.]</w:t>
      </w:r>
    </w:p>
    <w:p>
      <w:pPr>
        <w:pStyle w:val="Heading2"/>
      </w:pPr>
      <w:r>
        <w:t>9.5 Financed emissions — if applicable</w:t>
      </w:r>
    </w:p>
    <w:p>
      <w:pPr>
        <w:spacing w:before="0" w:after="80" w:line="269" w:lineRule="auto"/>
      </w:pPr>
      <w:r>
        <w:rPr>
          <w:rFonts w:ascii="Lato" w:hAnsi="Lato" w:eastAsia="Lato"/>
          <w:i w:val="0"/>
          <w:color w:val="26384A"/>
          <w:sz w:val="19"/>
        </w:rPr>
        <w:t>[INSERT: asset classes, amount, denominator, coverage, exclusions, industry classification, methodology, assumptions and B59A explanation where used.]</w:t>
      </w:r>
    </w:p>
    <w:p>
      <w:pPr>
        <w:pStyle w:val="Heading2"/>
      </w:pPr>
      <w:r>
        <w:t>9.6 Carbon credits</w:t>
      </w:r>
    </w:p>
    <w:p>
      <w:pPr>
        <w:spacing w:before="0" w:after="80" w:line="269" w:lineRule="auto"/>
      </w:pPr>
      <w:r>
        <w:rPr>
          <w:rFonts w:ascii="Lato" w:hAnsi="Lato" w:eastAsia="Lato"/>
          <w:i w:val="0"/>
          <w:color w:val="26384A"/>
          <w:sz w:val="19"/>
        </w:rPr>
        <w:t>[INSERT: planned reliance for net targets; scheme, type, removal/reduction, quality attributes, verification and retirement status. Keep gross inventory separate.]</w:t>
      </w:r>
    </w:p>
    <w:p>
      <w:pPr>
        <w:pStyle w:val="Heading2"/>
      </w:pPr>
      <w:r>
        <w:t>Evidence and control prompts</w:t>
      </w:r>
    </w:p>
    <w:p>
      <w:pPr>
        <w:pStyle w:val="ListBullet"/>
        <w:spacing w:before="0" w:after="60" w:line="259" w:lineRule="auto"/>
      </w:pPr>
      <w:r>
        <w:rPr>
          <w:rFonts w:ascii="Lato" w:hAnsi="Lato" w:eastAsia="Lato"/>
          <w:color w:val="26384A"/>
          <w:sz w:val="19"/>
        </w:rPr>
        <w:t>☐ GHG boundary reconciled.</w:t>
      </w:r>
    </w:p>
    <w:p>
      <w:pPr>
        <w:pStyle w:val="ListBullet"/>
        <w:spacing w:before="0" w:after="60" w:line="259" w:lineRule="auto"/>
      </w:pPr>
      <w:r>
        <w:rPr>
          <w:rFonts w:ascii="Lato" w:hAnsi="Lato" w:eastAsia="Lato"/>
          <w:color w:val="26384A"/>
          <w:sz w:val="19"/>
        </w:rPr>
        <w:t>☐ Factors and GWP versions controlled.</w:t>
      </w:r>
    </w:p>
    <w:p>
      <w:pPr>
        <w:pStyle w:val="ListBullet"/>
        <w:spacing w:before="0" w:after="60" w:line="259" w:lineRule="auto"/>
      </w:pPr>
      <w:r>
        <w:rPr>
          <w:rFonts w:ascii="Lato" w:hAnsi="Lato" w:eastAsia="Lato"/>
          <w:color w:val="26384A"/>
          <w:sz w:val="19"/>
        </w:rPr>
        <w:t>☐ Scope 3 completeness review complete.</w:t>
      </w:r>
    </w:p>
    <w:p>
      <w:pPr>
        <w:pStyle w:val="ListBullet"/>
        <w:spacing w:before="0" w:after="60" w:line="259" w:lineRule="auto"/>
      </w:pPr>
      <w:r>
        <w:rPr>
          <w:rFonts w:ascii="Lato" w:hAnsi="Lato" w:eastAsia="Lato"/>
          <w:color w:val="26384A"/>
          <w:sz w:val="19"/>
        </w:rPr>
        <w:t>☐ Financed-emissions timing and B59A approved.</w:t>
      </w:r>
    </w:p>
    <w:p>
      <w:pPr>
        <w:pStyle w:val="ListBullet"/>
        <w:spacing w:before="0" w:after="60" w:line="259" w:lineRule="auto"/>
      </w:pPr>
      <w:r>
        <w:rPr>
          <w:rFonts w:ascii="Lato" w:hAnsi="Lato" w:eastAsia="Lato"/>
          <w:color w:val="26384A"/>
          <w:sz w:val="19"/>
        </w:rPr>
        <w:t>☐ Gross inventory not netted.</w:t>
      </w:r>
    </w:p>
    <w:p>
      <w:pPr>
        <w:pStyle w:val="Heading1"/>
      </w:pPr>
      <w:r>
        <w:t>10. Judgements, estimates, provisions and changes</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Make significant technical decisions and uncertainty visible.</w:t>
            </w:r>
          </w:p>
        </w:tc>
      </w:tr>
    </w:tbl>
    <w:p>
      <w:pPr>
        <w:spacing w:after="0"/>
      </w:pPr>
    </w:p>
    <w:p>
      <w:pPr>
        <w:pStyle w:val="Heading2"/>
      </w:pPr>
      <w:r>
        <w:t>10.1 Significant judgements</w:t>
      </w:r>
    </w:p>
    <w:p>
      <w:pPr>
        <w:spacing w:before="0" w:after="80" w:line="269" w:lineRule="auto"/>
      </w:pPr>
      <w:r>
        <w:rPr>
          <w:rFonts w:ascii="Lato" w:hAnsi="Lato" w:eastAsia="Lato"/>
          <w:i w:val="0"/>
          <w:color w:val="26384A"/>
          <w:sz w:val="19"/>
        </w:rPr>
        <w:t>[INSERT: materiality, boundaries, scenario method, industry sources, financial-effects treatment, target and provision decisions.]</w:t>
      </w:r>
    </w:p>
    <w:p>
      <w:pPr>
        <w:pStyle w:val="Heading2"/>
      </w:pPr>
      <w:r>
        <w:t>10.2 Measurement uncertainty</w:t>
      </w:r>
    </w:p>
    <w:p>
      <w:pPr>
        <w:spacing w:before="0" w:after="80" w:line="269" w:lineRule="auto"/>
      </w:pPr>
      <w:r>
        <w:rPr>
          <w:rFonts w:ascii="Lato" w:hAnsi="Lato" w:eastAsia="Lato"/>
          <w:i w:val="0"/>
          <w:color w:val="26384A"/>
          <w:sz w:val="19"/>
        </w:rPr>
        <w:t>[INSERT: material estimates, ranges, model limitations, sensitivities, source quality and expected improvement.]</w:t>
      </w:r>
    </w:p>
    <w:p>
      <w:pPr>
        <w:pStyle w:val="Heading2"/>
      </w:pPr>
      <w:r>
        <w:t>10.3 Changes and errors</w:t>
      </w:r>
    </w:p>
    <w:p>
      <w:pPr>
        <w:spacing w:before="0" w:after="80" w:line="269" w:lineRule="auto"/>
      </w:pPr>
      <w:r>
        <w:rPr>
          <w:rFonts w:ascii="Lato" w:hAnsi="Lato" w:eastAsia="Lato"/>
          <w:i w:val="0"/>
          <w:color w:val="26384A"/>
          <w:sz w:val="19"/>
        </w:rPr>
        <w:t>[INSERT: methodology, estimate, boundary, factor, target, comparative revision or error; reason; effect and approval.]</w:t>
      </w:r>
    </w:p>
    <w:p>
      <w:pPr>
        <w:pStyle w:val="Heading2"/>
      </w:pPr>
      <w:r>
        <w:t>10.4 UK provisions</w:t>
      </w:r>
    </w:p>
    <w:p>
      <w:pPr>
        <w:spacing w:before="0" w:after="80" w:line="269" w:lineRule="auto"/>
      </w:pPr>
      <w:r>
        <w:rPr>
          <w:rFonts w:ascii="Lato" w:hAnsi="Lato" w:eastAsia="Lato"/>
          <w:i w:val="0"/>
          <w:color w:val="26384A"/>
          <w:sz w:val="19"/>
        </w:rPr>
        <w:t>[INSERT TABLE: provision; condition; period; affected information; substitute disclosure; comparative effect; claim effect; approval.]</w:t>
      </w:r>
    </w:p>
    <w:p>
      <w:pPr>
        <w:pStyle w:val="Heading2"/>
      </w:pPr>
      <w:r>
        <w:t>Evidence and control prompts</w:t>
      </w:r>
    </w:p>
    <w:p>
      <w:pPr>
        <w:pStyle w:val="ListBullet"/>
        <w:spacing w:before="0" w:after="60" w:line="259" w:lineRule="auto"/>
      </w:pPr>
      <w:r>
        <w:rPr>
          <w:rFonts w:ascii="Lato" w:hAnsi="Lato" w:eastAsia="Lato"/>
          <w:color w:val="26384A"/>
          <w:sz w:val="19"/>
        </w:rPr>
        <w:t>☐ Judgement and estimate registers reconciled.</w:t>
      </w:r>
    </w:p>
    <w:p>
      <w:pPr>
        <w:pStyle w:val="ListBullet"/>
        <w:spacing w:before="0" w:after="60" w:line="259" w:lineRule="auto"/>
      </w:pPr>
      <w:r>
        <w:rPr>
          <w:rFonts w:ascii="Lato" w:hAnsi="Lato" w:eastAsia="Lato"/>
          <w:color w:val="26384A"/>
          <w:sz w:val="19"/>
        </w:rPr>
        <w:t>☐ Changes classified correctly.</w:t>
      </w:r>
    </w:p>
    <w:p>
      <w:pPr>
        <w:pStyle w:val="ListBullet"/>
        <w:spacing w:before="0" w:after="60" w:line="259" w:lineRule="auto"/>
      </w:pPr>
      <w:r>
        <w:rPr>
          <w:rFonts w:ascii="Lato" w:hAnsi="Lato" w:eastAsia="Lato"/>
          <w:color w:val="26384A"/>
          <w:sz w:val="19"/>
        </w:rPr>
        <w:t>☐ Provision use beside compliance statement.</w:t>
      </w:r>
    </w:p>
    <w:p>
      <w:pPr>
        <w:pStyle w:val="ListBullet"/>
        <w:spacing w:before="0" w:after="60" w:line="259" w:lineRule="auto"/>
      </w:pPr>
      <w:r>
        <w:rPr>
          <w:rFonts w:ascii="Lato" w:hAnsi="Lato" w:eastAsia="Lato"/>
          <w:color w:val="26384A"/>
          <w:sz w:val="19"/>
        </w:rPr>
        <w:t>☐ Error corrections approved.</w:t>
      </w:r>
    </w:p>
    <w:p>
      <w:pPr>
        <w:pStyle w:val="Heading1"/>
      </w:pPr>
      <w:r>
        <w:t>11. Disclosure index and cross-references</w:t>
      </w:r>
    </w:p>
    <w:tbl>
      <w:tblPr>
        <w:tblW w:type="auto" w:w="0"/>
        <w:jc w:val="center"/>
        <w:tblLook w:firstColumn="1" w:firstRow="1" w:lastColumn="0" w:lastRow="0" w:noHBand="0" w:noVBand="1" w:val="04A0"/>
        <w:tblLayout w:type="fixed"/>
      </w:tblPr>
      <w:tblGrid>
        <w:gridCol w:w="10036"/>
      </w:tblGrid>
      <w:tr>
        <w:trPr>
          <w:cantSplit/>
        </w:trPr>
        <w:tc>
          <w:tcPr>
            <w:tcW w:type="dxa" w:w="10036"/>
            <w:shd w:fill="EAF1F7"/>
            <w:tcMar>
              <w:top w:w="120" w:type="dxa"/>
              <w:start w:w="150" w:type="dxa"/>
              <w:bottom w:w="120" w:type="dxa"/>
              <w:end w:w="150" w:type="dxa"/>
            </w:tcMar>
            <w:tcBorders>
              <w:left w:val="single" w:sz="18" w:color="173F65"/>
            </w:tcBorders>
          </w:tcPr>
          <w:p>
            <w:pPr>
              <w:spacing w:before="0" w:after="60" w:line="240" w:lineRule="auto"/>
            </w:pPr>
            <w:r>
              <w:rPr>
                <w:rFonts w:ascii="Lato" w:hAnsi="Lato" w:eastAsia="Lato"/>
                <w:b/>
                <w:color w:val="173F65"/>
                <w:sz w:val="17"/>
              </w:rPr>
              <w:t>PURPOSE</w:t>
            </w:r>
          </w:p>
          <w:p>
            <w:pPr>
              <w:spacing w:before="0" w:after="0" w:line="259" w:lineRule="auto"/>
            </w:pPr>
            <w:r>
              <w:rPr>
                <w:rFonts w:ascii="Lato" w:hAnsi="Lato" w:eastAsia="Lato"/>
                <w:b w:val="0"/>
                <w:color w:val="173F65"/>
                <w:sz w:val="18"/>
              </w:rPr>
              <w:t>Provide a controlled map from each material requirement to its report location and supporting technical record.</w:t>
            </w:r>
          </w:p>
        </w:tc>
      </w:tr>
    </w:tbl>
    <w:p>
      <w:pPr>
        <w:spacing w:after="0"/>
      </w:pPr>
    </w:p>
    <w:p>
      <w:pPr>
        <w:pStyle w:val="Heading2"/>
      </w:pPr>
      <w:r>
        <w:t>11.1 Disclosure index</w:t>
      </w:r>
    </w:p>
    <w:p>
      <w:pPr>
        <w:spacing w:before="0" w:after="80" w:line="269" w:lineRule="auto"/>
      </w:pPr>
      <w:r>
        <w:rPr>
          <w:rFonts w:ascii="Lato" w:hAnsi="Lato" w:eastAsia="Lato"/>
          <w:i w:val="0"/>
          <w:color w:val="26384A"/>
          <w:sz w:val="19"/>
        </w:rPr>
        <w:t>[INSERT TABLE: requirement ID; UK paragraph; status; report page/location; cross-reference; provision; evidence ID; reviewer.]</w:t>
      </w:r>
    </w:p>
    <w:p>
      <w:pPr>
        <w:pStyle w:val="Heading2"/>
      </w:pPr>
      <w:r>
        <w:t>11.2 Cross-reference release test</w:t>
      </w:r>
    </w:p>
    <w:p>
      <w:pPr>
        <w:spacing w:before="0" w:after="80" w:line="269" w:lineRule="auto"/>
      </w:pPr>
      <w:r>
        <w:rPr>
          <w:rFonts w:ascii="Lato" w:hAnsi="Lato" w:eastAsia="Lato"/>
          <w:i w:val="0"/>
          <w:color w:val="26384A"/>
          <w:sz w:val="19"/>
        </w:rPr>
        <w:t>[INSERT: exact document/page/URL; release time; access terms; version; archive location; responsible person.]</w:t>
      </w:r>
    </w:p>
    <w:p>
      <w:pPr>
        <w:pStyle w:val="Heading2"/>
      </w:pPr>
      <w:r>
        <w:t>11.3 Related UK statements</w:t>
      </w:r>
    </w:p>
    <w:p>
      <w:pPr>
        <w:spacing w:before="0" w:after="80" w:line="269" w:lineRule="auto"/>
      </w:pPr>
      <w:r>
        <w:rPr>
          <w:rFonts w:ascii="Lato" w:hAnsi="Lato" w:eastAsia="Lato"/>
          <w:i w:val="0"/>
          <w:color w:val="26384A"/>
          <w:sz w:val="19"/>
        </w:rPr>
        <w:t>[INSERT: NFSIS, SECR and current FCA disclosures; overlap and reconciliation note.]</w:t>
      </w:r>
    </w:p>
    <w:p>
      <w:pPr>
        <w:pStyle w:val="Heading2"/>
      </w:pPr>
      <w:r>
        <w:t>Evidence and control prompts</w:t>
      </w:r>
    </w:p>
    <w:p>
      <w:pPr>
        <w:pStyle w:val="ListBullet"/>
        <w:spacing w:before="0" w:after="60" w:line="259" w:lineRule="auto"/>
      </w:pPr>
      <w:r>
        <w:rPr>
          <w:rFonts w:ascii="Lato" w:hAnsi="Lato" w:eastAsia="Lato"/>
          <w:color w:val="26384A"/>
          <w:sz w:val="19"/>
        </w:rPr>
        <w:t>☐ No broken or generic references.</w:t>
      </w:r>
    </w:p>
    <w:p>
      <w:pPr>
        <w:pStyle w:val="ListBullet"/>
        <w:spacing w:before="0" w:after="60" w:line="259" w:lineRule="auto"/>
      </w:pPr>
      <w:r>
        <w:rPr>
          <w:rFonts w:ascii="Lato" w:hAnsi="Lato" w:eastAsia="Lato"/>
          <w:color w:val="26384A"/>
          <w:sz w:val="19"/>
        </w:rPr>
        <w:t>☐ Referenced information released at same time.</w:t>
      </w:r>
    </w:p>
    <w:p>
      <w:pPr>
        <w:pStyle w:val="ListBullet"/>
        <w:spacing w:before="0" w:after="60" w:line="259" w:lineRule="auto"/>
      </w:pPr>
      <w:r>
        <w:rPr>
          <w:rFonts w:ascii="Lato" w:hAnsi="Lato" w:eastAsia="Lato"/>
          <w:color w:val="26384A"/>
          <w:sz w:val="19"/>
        </w:rPr>
        <w:t>☐ Dynamic sources locked or archived.</w:t>
      </w:r>
    </w:p>
    <w:p>
      <w:pPr>
        <w:pStyle w:val="ListBullet"/>
        <w:spacing w:before="0" w:after="60" w:line="259" w:lineRule="auto"/>
      </w:pPr>
      <w:r>
        <w:rPr>
          <w:rFonts w:ascii="Lato" w:hAnsi="Lato" w:eastAsia="Lato"/>
          <w:color w:val="26384A"/>
          <w:sz w:val="19"/>
        </w:rPr>
        <w:t>☐ Framework-specific claims remain distinct.</w:t>
      </w:r>
    </w:p>
    <w:p>
      <w:pPr>
        <w:pStyle w:val="Heading1"/>
      </w:pPr>
      <w:r>
        <w:t>Final management and board approval record</w:t>
      </w:r>
    </w:p>
    <w:tbl>
      <w:tblPr>
        <w:tblW w:type="auto" w:w="0"/>
        <w:jc w:val="center"/>
        <w:tblLook w:firstColumn="1" w:firstRow="1" w:lastColumn="0" w:lastRow="0" w:noHBand="0" w:noVBand="1" w:val="04A0"/>
        <w:tblLayout w:type="fixed"/>
      </w:tblPr>
      <w:tblGrid>
        <w:gridCol w:w="2509"/>
        <w:gridCol w:w="2509"/>
        <w:gridCol w:w="2509"/>
        <w:gridCol w:w="2509"/>
      </w:tblGrid>
      <w:tr>
        <w:trPr>
          <w:tblHeader w:val="true"/>
        </w:trPr>
        <w:tc>
          <w:tcPr>
            <w:tcW w:type="dxa" w:w="2381"/>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Gate</w:t>
            </w:r>
          </w:p>
        </w:tc>
        <w:tc>
          <w:tcPr>
            <w:tcW w:type="dxa" w:w="2381"/>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Name / body</w:t>
            </w:r>
          </w:p>
        </w:tc>
        <w:tc>
          <w:tcPr>
            <w:tcW w:type="dxa" w:w="2381"/>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Decision / date</w:t>
            </w:r>
          </w:p>
        </w:tc>
        <w:tc>
          <w:tcPr>
            <w:tcW w:type="dxa" w:w="2665"/>
            <w:shd w:fill="173F65"/>
            <w:tcMar>
              <w:top w:w="90" w:type="dxa"/>
              <w:start w:w="80" w:type="dxa"/>
              <w:bottom w:w="90" w:type="dxa"/>
              <w:end w:w="80" w:type="dxa"/>
            </w:tcMar>
            <w:tcBorders>
              <w:top w:val="single" w:sz="4" w:color="C8D2DC"/>
              <w:left w:val="single" w:sz="4" w:color="C8D2DC"/>
              <w:bottom w:val="single" w:sz="4" w:color="C8D2DC"/>
              <w:right w:val="single" w:sz="4" w:color="C8D2DC"/>
            </w:tcBorders>
          </w:tcPr>
          <w:p>
            <w:pPr>
              <w:spacing w:before="0" w:after="0" w:line="240" w:lineRule="auto"/>
              <w:jc w:val="left"/>
            </w:pPr>
            <w:r>
              <w:rPr>
                <w:rFonts w:ascii="Lato" w:hAnsi="Lato" w:eastAsia="Lato"/>
                <w:b/>
                <w:color w:val="FFFFFF"/>
                <w:sz w:val="18"/>
              </w:rPr>
              <w:t>Open actions</w:t>
            </w:r>
          </w:p>
        </w:tc>
      </w:tr>
      <w:tr>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Data-owner certification</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Technical review</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CFO / finance consistency</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Legal / company secretary</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Internal audit / readiness review</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Audit committee recommendation</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Board approval</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FFFFF"/>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r>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Release certification</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381"/>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c>
          <w:tcPr>
            <w:tcW w:type="dxa" w:w="2665"/>
            <w:shd w:fill="F3F5F7"/>
            <w:tcMar>
              <w:top w:w="75" w:type="dxa"/>
              <w:start w:w="80" w:type="dxa"/>
              <w:bottom w:w="75" w:type="dxa"/>
              <w:end w:w="80" w:type="dxa"/>
            </w:tcMar>
            <w:tcBorders>
              <w:top w:val="single" w:sz="3" w:color="C8D2DC"/>
              <w:left w:val="single" w:sz="3" w:color="C8D2DC"/>
              <w:bottom w:val="single" w:sz="3" w:color="C8D2DC"/>
              <w:right w:val="single" w:sz="3" w:color="C8D2DC"/>
            </w:tcBorders>
            <w:vAlign w:val="top"/>
          </w:tcPr>
          <w:p>
            <w:pPr>
              <w:spacing w:before="0" w:after="0" w:line="247" w:lineRule="auto"/>
            </w:pPr>
            <w:r>
              <w:rPr>
                <w:rFonts w:ascii="Lato" w:hAnsi="Lato" w:eastAsia="Lato"/>
                <w:b w:val="0"/>
                <w:color w:val="26384A"/>
                <w:sz w:val="17"/>
              </w:rPr>
              <w:t>[INSERT]</w:t>
            </w:r>
          </w:p>
        </w:tc>
      </w:tr>
    </w:tbl>
    <w:p>
      <w:pPr>
        <w:spacing w:after="0"/>
      </w:pPr>
    </w:p>
    <w:tbl>
      <w:tblPr>
        <w:tblW w:type="auto" w:w="0"/>
        <w:jc w:val="center"/>
        <w:tblLook w:firstColumn="1" w:firstRow="1" w:lastColumn="0" w:lastRow="0" w:noHBand="0" w:noVBand="1" w:val="04A0"/>
        <w:tblLayout w:type="fixed"/>
      </w:tblPr>
      <w:tblGrid>
        <w:gridCol w:w="10036"/>
      </w:tblGrid>
      <w:tr>
        <w:trPr>
          <w:cantSplit/>
        </w:trPr>
        <w:tc>
          <w:tcPr>
            <w:tcW w:type="dxa" w:w="10036"/>
            <w:shd w:fill="FFF2CC"/>
            <w:tcMar>
              <w:top w:w="120" w:type="dxa"/>
              <w:start w:w="150" w:type="dxa"/>
              <w:bottom w:w="120" w:type="dxa"/>
              <w:end w:w="150" w:type="dxa"/>
            </w:tcMar>
            <w:tcBorders>
              <w:left w:val="single" w:sz="18" w:color="7F6000"/>
            </w:tcBorders>
          </w:tcPr>
          <w:p>
            <w:pPr>
              <w:spacing w:before="0" w:after="60" w:line="240" w:lineRule="auto"/>
            </w:pPr>
            <w:r>
              <w:rPr>
                <w:rFonts w:ascii="Lato" w:hAnsi="Lato" w:eastAsia="Lato"/>
                <w:b/>
                <w:color w:val="7F6000"/>
                <w:sz w:val="17"/>
              </w:rPr>
              <w:t>FINAL LIMITATION</w:t>
            </w:r>
          </w:p>
          <w:p>
            <w:pPr>
              <w:spacing w:before="0" w:after="0" w:line="259" w:lineRule="auto"/>
            </w:pPr>
            <w:r>
              <w:rPr>
                <w:rFonts w:ascii="Lato" w:hAnsi="Lato" w:eastAsia="Lato"/>
                <w:b/>
                <w:color w:val="7F6000"/>
                <w:sz w:val="18"/>
              </w:rPr>
              <w:t>Illustrative drafting prompts do not replace the final UK SRS standards, entity-specific materiality and applicability decisions, legal advice, internal controls or independent assurance.</w:t>
            </w:r>
          </w:p>
        </w:tc>
      </w:tr>
    </w:tbl>
    <w:p>
      <w:pPr>
        <w:spacing w:after="0"/>
      </w:pPr>
    </w:p>
    <w:sectPr w:rsidR="00FC693F" w:rsidRPr="0006063C" w:rsidSect="00034616">
      <w:headerReference w:type="default" r:id="rId9"/>
      <w:footerReference w:type="default" r:id="rId10"/>
      <w:pgSz w:w="11906" w:h="16838"/>
      <w:pgMar w:top="879" w:right="935" w:bottom="822" w:left="93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jc w:val="center"/>
      <w:tblLayout w:type="fixed"/>
    </w:tblPr>
    <w:tblGrid>
      <w:gridCol w:w="3345"/>
      <w:gridCol w:w="3345"/>
      <w:gridCol w:w="3345"/>
    </w:tblGrid>
    <w:tr>
      <w:tc>
        <w:tcPr>
          <w:tcW w:type="dxa" w:w="3628"/>
          <w:tcMar>
            <w:top w:w="15" w:type="dxa"/>
            <w:start w:w="0" w:type="dxa"/>
            <w:bottom w:w="0" w:type="dxa"/>
            <w:end w:w="0" w:type="dxa"/>
          </w:tcMar>
          <w:tcBorders>
            <w:top w:val="single" w:sz="6" w:color="C8D2DC"/>
          </w:tcBorders>
        </w:tcPr>
        <w:p>
          <w:pPr>
            <w:spacing w:before="0" w:after="0" w:line="240" w:lineRule="auto"/>
          </w:pPr>
          <w:r>
            <w:rPr>
              <w:rFonts w:ascii="Lato" w:hAnsi="Lato" w:eastAsia="Lato"/>
              <w:color w:val="667788"/>
              <w:sz w:val="15"/>
            </w:rPr>
            <w:t>UKSRS-S2-TPL-001  ·  Version 1.0</w:t>
          </w:r>
        </w:p>
      </w:tc>
      <w:tc>
        <w:tcPr>
          <w:tcW w:type="dxa" w:w="3685"/>
          <w:tcMar>
            <w:top w:w="15" w:type="dxa"/>
            <w:start w:w="0" w:type="dxa"/>
            <w:bottom w:w="0" w:type="dxa"/>
            <w:end w:w="0" w:type="dxa"/>
          </w:tcMar>
          <w:tcBorders>
            <w:top w:val="single" w:sz="6" w:color="C8D2DC"/>
          </w:tcBorders>
        </w:tcPr>
        <w:p>
          <w:pPr>
            <w:spacing w:before="0" w:after="0" w:line="240" w:lineRule="auto"/>
            <w:jc w:val="center"/>
          </w:pPr>
          <w:r>
            <w:rPr>
              <w:rFonts w:ascii="Lato" w:hAnsi="Lato" w:eastAsia="Lato"/>
              <w:color w:val="667788"/>
              <w:sz w:val="15"/>
            </w:rPr>
            <w:t>Technical cut-off: 3 August 2026</w:t>
          </w:r>
        </w:p>
      </w:tc>
      <w:tc>
        <w:tcPr>
          <w:tcW w:type="dxa" w:w="2721"/>
          <w:tcMar>
            <w:top w:w="15" w:type="dxa"/>
            <w:start w:w="0" w:type="dxa"/>
            <w:bottom w:w="0" w:type="dxa"/>
            <w:end w:w="0" w:type="dxa"/>
          </w:tcMar>
          <w:tcBorders>
            <w:top w:val="single" w:sz="6" w:color="C8D2DC"/>
          </w:tcBorders>
        </w:tcPr>
        <w:p>
          <w:pPr>
            <w:jc w:val="right"/>
          </w:pPr>
          <w:r>
            <w:rPr>
              <w:rFonts w:ascii="Lato" w:hAnsi="Lato" w:eastAsia="Lato"/>
              <w:color w:val="667788"/>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jc w:val="center"/>
      <w:tblLayout w:type="fixed"/>
    </w:tblPr>
    <w:tblGrid>
      <w:gridCol w:w="5017"/>
      <w:gridCol w:w="5017"/>
    </w:tblGrid>
    <w:tr>
      <w:tc>
        <w:tcPr>
          <w:tcW w:type="dxa" w:w="7257"/>
          <w:tcMar>
            <w:top w:w="20" w:type="dxa"/>
            <w:start w:w="0" w:type="dxa"/>
            <w:bottom w:w="20" w:type="dxa"/>
            <w:end w:w="0" w:type="dxa"/>
          </w:tcMar>
          <w:tcBorders>
            <w:bottom w:val="single" w:sz="8" w:color="2A6F97"/>
          </w:tcBorders>
        </w:tcPr>
        <w:p>
          <w:pPr>
            <w:spacing w:before="0" w:after="0" w:line="240" w:lineRule="auto"/>
            <w:jc w:val="left"/>
          </w:pPr>
          <w:r>
            <w:rPr>
              <w:rFonts w:ascii="Lato" w:hAnsi="Lato" w:eastAsia="Lato"/>
              <w:b/>
              <w:color w:val="667788"/>
              <w:sz w:val="16"/>
            </w:rPr>
            <w:t>LONDON REPORTING ACADEMY  ·  KNOWLEDGE HUB</w:t>
          </w:r>
        </w:p>
      </w:tc>
      <w:tc>
        <w:tcPr>
          <w:tcW w:type="dxa" w:w="2778"/>
          <w:tcMar>
            <w:top w:w="20" w:type="dxa"/>
            <w:start w:w="0" w:type="dxa"/>
            <w:bottom w:w="20" w:type="dxa"/>
            <w:end w:w="0" w:type="dxa"/>
          </w:tcMar>
          <w:tcBorders>
            <w:bottom w:val="single" w:sz="8" w:color="2A6F97"/>
          </w:tcBorders>
        </w:tcPr>
        <w:p>
          <w:pPr>
            <w:spacing w:before="0" w:after="0" w:line="240" w:lineRule="auto"/>
            <w:jc w:val="right"/>
          </w:pPr>
          <w:r>
            <w:drawing>
              <wp:inline xmlns:a="http://schemas.openxmlformats.org/drawingml/2006/main" xmlns:pic="http://schemas.openxmlformats.org/drawingml/2006/picture">
                <wp:extent cx="1260000" cy="756000"/>
                <wp:docPr id="1" name="Picture 1" descr="London Reporting Academy logo" title="London Reporting Academy logo"/>
                <wp:cNvGraphicFramePr>
                  <a:graphicFrameLocks noChangeAspect="1"/>
                </wp:cNvGraphicFramePr>
                <a:graphic>
                  <a:graphicData uri="http://schemas.openxmlformats.org/drawingml/2006/picture">
                    <pic:pic>
                      <pic:nvPicPr>
                        <pic:cNvPr id="0" name="LRA_logo.png"/>
                        <pic:cNvPicPr/>
                      </pic:nvPicPr>
                      <pic:blipFill>
                        <a:blip r:embed="rId1"/>
                        <a:stretch>
                          <a:fillRect/>
                        </a:stretch>
                      </pic:blipFill>
                      <pic:spPr>
                        <a:xfrm>
                          <a:off x="0" y="0"/>
                          <a:ext cx="1260000" cy="75600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Lato" w:hAnsi="Lato" w:eastAsia="Lato"/>
      <w:color w:val="26384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Lato" w:hAnsi="Lato" w:eastAsia="Lato"/>
      <w:b/>
      <w:bCs/>
      <w:color w:val="173F65"/>
      <w:sz w:val="4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Lato" w:hAnsi="Lato" w:eastAsia="Lato"/>
      <w:b/>
      <w:bCs/>
      <w:color w:val="2A6F97"/>
      <w:sz w:val="31"/>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Lato" w:hAnsi="Lato" w:eastAsia="Lato"/>
      <w:b/>
      <w:bCs/>
      <w:color w:val="173F65"/>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Lato" w:hAnsi="Lato" w:eastAsia="Lato"/>
      <w:b/>
      <w:color w:val="173F65"/>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Lato" w:hAnsi="Lato" w:eastAsia="Lato"/>
      <w:b/>
      <w:i/>
      <w:iCs/>
      <w:color w:val="66778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contextualSpacing/>
    </w:pPr>
    <w:rPr>
      <w:rFonts w:ascii="Lato" w:hAnsi="Lato" w:eastAsia="Lato"/>
      <w:color w:val="26384A"/>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contextualSpacing/>
    </w:pPr>
    <w:rPr>
      <w:rFonts w:ascii="Lato" w:hAnsi="Lato" w:eastAsia="Lato"/>
      <w:color w:val="26384A"/>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RASmall">
    <w:name w:val="LRA Small"/>
    <w:pPr>
      <w:spacing w:after="60" w:line="240" w:lineRule="auto"/>
    </w:pPr>
    <w:rPr>
      <w:rFonts w:ascii="Lato" w:hAnsi="Lato" w:eastAsia="Lato"/>
      <w:color w:val="66778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SRS S2 Annual Report Disclosure Template</dc:title>
  <dc:subject>Editable structure and drafting prompts for basis of preparation, four pillars, scenarios, GHG, financial effects, judgements, provisions, cross-references and approval</dc:subject>
  <dc:creator>London Reporting Academy</dc:creator>
  <cp:keywords>UK SRS S2 report template, annual report, climate disclosure</cp:keywords>
  <dc:description>Prepared as a London Reporting Academy Knowledge Card Package.</dc:description>
  <cp:lastModifiedBy>London Reporting Academy</cp:lastModifiedBy>
  <cp:revision>1</cp:revision>
  <dcterms:created xsi:type="dcterms:W3CDTF">2013-12-23T23:15:00Z</dcterms:created>
  <dcterms:modified xsi:type="dcterms:W3CDTF">2013-12-23T23:15:00Z</dcterms:modified>
  <cp:category/>
</cp:coreProperties>
</file>