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4069080" cy="674611"/>
            <wp:docPr id="1" name="Picture 1" descr="London Reporting Academy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6746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Arial" w:hAnsi="Arial" w:eastAsia="Arial"/>
          <w:b/>
          <w:color w:val="1F5E8C"/>
          <w:sz w:val="21"/>
        </w:rPr>
        <w:t>LRA KNOWLEDGE HUB  ·  UK SRS S1</w:t>
      </w:r>
    </w:p>
    <w:p>
      <w:pPr>
        <w:pStyle w:val="Title"/>
        <w:keepNext/>
        <w:pBdr>
          <w:bottom w:val="single" w:sz="12" w:space="5" w:color="2F75B5"/>
        </w:pBdr>
      </w:pPr>
      <w:r>
        <w:t>UK SRS S1 First-Cycle Working Toolkit</w:t>
      </w:r>
    </w:p>
    <w:p>
      <w:pPr>
        <w:pStyle w:val="Subtitle"/>
      </w:pPr>
      <w:r>
        <w:t>Editable registers and approval aids for reporting basis, implementation planning, paragraph E3, claims, materiality, risk and opportunity identification, metrics, financial effects and board sign-off.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04"/>
        <w:gridCol w:w="4904"/>
      </w:tblGrid>
      <w:tr>
        <w:tc>
          <w:tcPr>
            <w:tcW w:type="dxa" w:w="9808"/>
            <w:gridSpan w:val="2"/>
            <w:shd w:fill="173B6C"/>
          </w:tcPr>
          <w:p>
            <w:r/>
          </w:p>
        </w:tc>
      </w:tr>
      <w:tr>
        <w:tc>
          <w:tcPr>
            <w:tcW w:type="dxa" w:w="4904"/>
            <w:shd w:fill="EAF2F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 w:eastAsia="Arial"/>
                <w:b/>
                <w:color w:val="173B6C"/>
                <w:sz w:val="18"/>
              </w:rPr>
              <w:t>Collection ID</w:t>
            </w:r>
          </w:p>
        </w:tc>
        <w:tc>
          <w:tcPr>
            <w:tcW w:type="dxa" w:w="49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 w:eastAsia="Arial"/>
                <w:color w:val="1C2733"/>
                <w:sz w:val="18"/>
              </w:rPr>
              <w:t>UKSRS1-TOOL-006</w:t>
            </w:r>
          </w:p>
        </w:tc>
      </w:tr>
      <w:tr>
        <w:tc>
          <w:tcPr>
            <w:tcW w:type="dxa" w:w="4904"/>
            <w:shd w:fill="EAF2F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 w:eastAsia="Arial"/>
                <w:b/>
                <w:color w:val="173B6C"/>
                <w:sz w:val="18"/>
              </w:rPr>
              <w:t>Format</w:t>
            </w:r>
          </w:p>
        </w:tc>
        <w:tc>
          <w:tcPr>
            <w:tcW w:type="dxa" w:w="49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 w:eastAsia="Arial"/>
                <w:color w:val="1C2733"/>
                <w:sz w:val="18"/>
              </w:rPr>
              <w:t>Implementation toolkit</w:t>
            </w:r>
          </w:p>
        </w:tc>
      </w:tr>
      <w:tr>
        <w:tc>
          <w:tcPr>
            <w:tcW w:type="dxa" w:w="4904"/>
            <w:shd w:fill="EAF2F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 w:eastAsia="Arial"/>
                <w:b/>
                <w:color w:val="173B6C"/>
                <w:sz w:val="18"/>
              </w:rPr>
              <w:t>Primary audience</w:t>
            </w:r>
          </w:p>
        </w:tc>
        <w:tc>
          <w:tcPr>
            <w:tcW w:type="dxa" w:w="49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 w:eastAsia="Arial"/>
                <w:color w:val="1C2733"/>
                <w:sz w:val="18"/>
              </w:rPr>
              <w:t>Reporting project teams, finance, risk, company secretariat, legal, internal audit and technical reviewers</w:t>
            </w:r>
          </w:p>
        </w:tc>
      </w:tr>
      <w:tr>
        <w:tc>
          <w:tcPr>
            <w:tcW w:type="dxa" w:w="4904"/>
            <w:shd w:fill="EAF2F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 w:eastAsia="Arial"/>
                <w:b/>
                <w:color w:val="173B6C"/>
                <w:sz w:val="18"/>
              </w:rPr>
              <w:t>Technical status</w:t>
            </w:r>
          </w:p>
        </w:tc>
        <w:tc>
          <w:tcPr>
            <w:tcW w:type="dxa" w:w="49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rial" w:hAnsi="Arial" w:eastAsia="Arial"/>
                <w:color w:val="1C2733"/>
                <w:sz w:val="18"/>
              </w:rPr>
              <w:t>Prepared against UK SRS editions issued 25 February 2026; reviewed 6 August 2026</w:t>
            </w:r>
          </w:p>
        </w:tc>
      </w:tr>
    </w:tbl>
    <w:p/>
    <w:p>
      <w:r>
        <w:rPr>
          <w:rFonts w:ascii="Arial" w:hAnsi="Arial" w:eastAsia="Arial"/>
          <w:i/>
          <w:color w:val="66717F"/>
          <w:sz w:val="18"/>
        </w:rPr>
        <w:t>Educational practitioner material. Illustrative examples and wording require adaptation and technical review.</w:t>
      </w:r>
    </w:p>
    <w:p>
      <w:r>
        <w:br w:type="page"/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808"/>
      </w:tblGrid>
      <w:tr>
        <w:tc>
          <w:tcPr>
            <w:tcW w:type="dxa" w:w="9808"/>
            <w:shd w:fill="FFF4DD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4" w:color="B6C7D8"/>
              <w:bottom w:val="single" w:sz="4" w:color="B6C7D8"/>
              <w:right w:val="single" w:sz="4" w:color="B6C7D8"/>
              <w:left w:val="single" w:sz="18" w:color="B36B00"/>
            </w:tcBorders>
          </w:tcPr>
          <w:p>
            <w:r>
              <w:rPr>
                <w:rFonts w:ascii="Arial" w:hAnsi="Arial" w:eastAsia="Arial"/>
                <w:b/>
                <w:color w:val="B36B00"/>
                <w:sz w:val="20"/>
              </w:rPr>
              <w:t>Use note</w:t>
              <w:br/>
            </w:r>
            <w:r>
              <w:rPr>
                <w:rFonts w:ascii="Arial" w:hAnsi="Arial" w:eastAsia="Arial"/>
                <w:color w:val="1C2733"/>
                <w:sz w:val="18"/>
              </w:rPr>
              <w:t>These tables are working aids, not prescribed UK SRS templates. Adapt fields, owners and approval levels to the entity. Completion of a table does not itself establish compliance.</w:t>
            </w:r>
          </w:p>
        </w:tc>
      </w:tr>
    </w:tbl>
    <w:p/>
    <w:p>
      <w:pPr>
        <w:pStyle w:val="Heading2"/>
        <w:keepNext/>
      </w:pPr>
      <w:r>
        <w:t>Tool 1 - reporting basis and claim decision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69"/>
        <w:gridCol w:w="3269"/>
        <w:gridCol w:w="3269"/>
      </w:tblGrid>
      <w:tr>
        <w:trPr>
          <w:tblHeader w:val="true"/>
        </w:trPr>
        <w:tc>
          <w:tcPr>
            <w:tcW w:type="dxa" w:w="3269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6"/>
              </w:rPr>
              <w:t>Field</w:t>
            </w:r>
          </w:p>
        </w:tc>
        <w:tc>
          <w:tcPr>
            <w:tcW w:type="dxa" w:w="3269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6"/>
              </w:rPr>
              <w:t>Decision / description</w:t>
            </w:r>
          </w:p>
        </w:tc>
        <w:tc>
          <w:tcPr>
            <w:tcW w:type="dxa" w:w="3269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6"/>
              </w:rPr>
              <w:t>Evidence / owner</w:t>
            </w:r>
          </w:p>
        </w:tc>
      </w:tr>
      <w:tr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Reporting entity</w:t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Reporting period</w:t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Reporting route: voluntary / law / regulation</w:t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Standards and editions applied</w:t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Report location and publication timing</w:t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Paragraph E3 used?</w:t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Intended UK SRS S1 statement</w:t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Intended UK SRS S2 statement</w:t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Other frameworks or claims</w:t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Reliefs, exemptions and limitations</w:t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Approving body and date</w:t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Regulatory update triggers</w:t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</w:tbl>
    <w:p/>
    <w:p>
      <w:pPr>
        <w:pStyle w:val="Heading2"/>
        <w:keepNext/>
      </w:pPr>
      <w:r>
        <w:t>Tool 2 - twelve-month implementation plan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52"/>
        <w:gridCol w:w="2452"/>
        <w:gridCol w:w="2452"/>
        <w:gridCol w:w="2452"/>
      </w:tblGrid>
      <w:tr>
        <w:trPr>
          <w:tblHeader w:val="true"/>
        </w:trPr>
        <w:tc>
          <w:tcPr>
            <w:tcW w:type="dxa" w:w="245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5"/>
              </w:rPr>
              <w:t>Month / phase</w:t>
            </w:r>
          </w:p>
        </w:tc>
        <w:tc>
          <w:tcPr>
            <w:tcW w:type="dxa" w:w="245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5"/>
              </w:rPr>
              <w:t>Workstream and action</w:t>
            </w:r>
          </w:p>
        </w:tc>
        <w:tc>
          <w:tcPr>
            <w:tcW w:type="dxa" w:w="245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5"/>
              </w:rPr>
              <w:t>Owner</w:t>
            </w:r>
          </w:p>
        </w:tc>
        <w:tc>
          <w:tcPr>
            <w:tcW w:type="dxa" w:w="245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5"/>
              </w:rPr>
              <w:t>Output / approval</w:t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1 - Foundation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  <w:t>Confirm basis, scope, claim and governance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2 - Foundation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  <w:t>Map business model, value chain and sources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3 - Assess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  <w:t>Identify risks and opportunities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4 - Assess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  <w:t>Challenge completeness and value-chain scope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5 - Assess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  <w:t>Approve material information decisions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6 - Build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  <w:t>Develop four-pillar and UK SRS S2 workplans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7 - Build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  <w:t>Define metrics, targets and data requests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8 - Build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  <w:t>Implement data lineage, evidence and controls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9 - Build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  <w:t>Complete financial-effects analysis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10 - Report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  <w:t>Draft the connected report and Basis of Preparation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11 - Report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  <w:t>Run technical, finance, legal and controls reviews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12 - Report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  <w:t>Obtain representations, board approval and publish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</w:tbl>
    <w:p/>
    <w:p>
      <w:pPr>
        <w:pStyle w:val="Heading2"/>
        <w:keepNext/>
      </w:pPr>
      <w:r>
        <w:t>Tool 3 - paragraph E3 annual decision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69"/>
        <w:gridCol w:w="3269"/>
        <w:gridCol w:w="3269"/>
      </w:tblGrid>
      <w:tr>
        <w:trPr>
          <w:tblHeader w:val="true"/>
        </w:trPr>
        <w:tc>
          <w:tcPr>
            <w:tcW w:type="dxa" w:w="3269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6"/>
              </w:rPr>
              <w:t>Decision factor</w:t>
            </w:r>
          </w:p>
        </w:tc>
        <w:tc>
          <w:tcPr>
            <w:tcW w:type="dxa" w:w="3269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6"/>
              </w:rPr>
              <w:t>Assessment</w:t>
            </w:r>
          </w:p>
        </w:tc>
        <w:tc>
          <w:tcPr>
            <w:tcW w:type="dxa" w:w="3269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6"/>
              </w:rPr>
              <w:t>Evidence / action</w:t>
            </w:r>
          </w:p>
        </w:tc>
      </w:tr>
      <w:tr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Is application voluntary or mandatory?</w:t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Is E3 available under current law or rules?</w:t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Would climate-only scope omit information already material to investors?</w:t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Can the entity meet all applicable UK SRS S2 requirements?</w:t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Is the board comfortable that no UK SRS S1 compliance claim will be made?</w:t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What comparative treatment applies under E4?</w:t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Which non-climate processes can be developed this year?</w:t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When will E3 use be reconsidered?</w:t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Approved conclusion and date</w:t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</w:tbl>
    <w:p/>
    <w:p>
      <w:pPr>
        <w:pStyle w:val="Heading2"/>
        <w:keepNext/>
      </w:pPr>
      <w:r>
        <w:t>Tool 4 - compliance and public-claim inventory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52"/>
        <w:gridCol w:w="2452"/>
        <w:gridCol w:w="2452"/>
        <w:gridCol w:w="2452"/>
      </w:tblGrid>
      <w:tr>
        <w:trPr>
          <w:tblHeader w:val="true"/>
        </w:trPr>
        <w:tc>
          <w:tcPr>
            <w:tcW w:type="dxa" w:w="245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5"/>
              </w:rPr>
              <w:t>Publication / channel</w:t>
            </w:r>
          </w:p>
        </w:tc>
        <w:tc>
          <w:tcPr>
            <w:tcW w:type="dxa" w:w="245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5"/>
              </w:rPr>
              <w:t>Draft wording</w:t>
            </w:r>
          </w:p>
        </w:tc>
        <w:tc>
          <w:tcPr>
            <w:tcW w:type="dxa" w:w="245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5"/>
              </w:rPr>
              <w:t>Technical basis</w:t>
            </w:r>
          </w:p>
        </w:tc>
        <w:tc>
          <w:tcPr>
            <w:tcW w:type="dxa" w:w="245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5"/>
              </w:rPr>
              <w:t>Reviewer / status</w:t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Basis of Preparation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Standards index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Directors’ approval paper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Assurance report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Annual-report highlights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Website and SEO metadata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Investor presentation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Press release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Tender / questionnaire responses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5"/>
              </w:rPr>
              <w:t>AI Assistant or chatbot answer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</w:tbl>
    <w:p/>
    <w:p>
      <w:pPr>
        <w:pStyle w:val="Heading2"/>
        <w:keepNext/>
      </w:pPr>
      <w:r>
        <w:t>Tool 5 - risk and opportunity register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04"/>
        <w:gridCol w:w="4904"/>
      </w:tblGrid>
      <w:tr>
        <w:trPr>
          <w:tblHeader w:val="true"/>
        </w:trPr>
        <w:tc>
          <w:tcPr>
            <w:tcW w:type="dxa" w:w="4904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6"/>
              </w:rPr>
              <w:t>Field</w:t>
            </w:r>
          </w:p>
        </w:tc>
        <w:tc>
          <w:tcPr>
            <w:tcW w:type="dxa" w:w="4904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6"/>
              </w:rPr>
              <w:t>Entry</w:t>
            </w:r>
          </w:p>
        </w:tc>
      </w:tr>
      <w:tr>
        <w:tc>
          <w:tcPr>
            <w:tcW w:type="dxa" w:w="4904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Record ID and specific title</w:t>
            </w:r>
          </w:p>
        </w:tc>
        <w:tc>
          <w:tcPr>
            <w:tcW w:type="dxa" w:w="4904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4904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Risk / opportunity / both</w:t>
            </w:r>
          </w:p>
        </w:tc>
        <w:tc>
          <w:tcPr>
            <w:tcW w:type="dxa" w:w="4904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4904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Business-model or value-chain location</w:t>
            </w:r>
          </w:p>
        </w:tc>
        <w:tc>
          <w:tcPr>
            <w:tcW w:type="dxa" w:w="4904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4904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Dependency, impact or external driver</w:t>
            </w:r>
          </w:p>
        </w:tc>
        <w:tc>
          <w:tcPr>
            <w:tcW w:type="dxa" w:w="4904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4904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Financial transmission pathway</w:t>
            </w:r>
          </w:p>
        </w:tc>
        <w:tc>
          <w:tcPr>
            <w:tcW w:type="dxa" w:w="4904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4904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Short / medium / long-term horizon</w:t>
            </w:r>
          </w:p>
        </w:tc>
        <w:tc>
          <w:tcPr>
            <w:tcW w:type="dxa" w:w="4904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4904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Reasonable-expectation rationale</w:t>
            </w:r>
          </w:p>
        </w:tc>
        <w:tc>
          <w:tcPr>
            <w:tcW w:type="dxa" w:w="4904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4904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Internal and external sources</w:t>
            </w:r>
          </w:p>
        </w:tc>
        <w:tc>
          <w:tcPr>
            <w:tcW w:type="dxa" w:w="4904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4904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Value-chain breadth, proxies and gaps</w:t>
            </w:r>
          </w:p>
        </w:tc>
        <w:tc>
          <w:tcPr>
            <w:tcW w:type="dxa" w:w="4904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4904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Existing controls and strategic response</w:t>
            </w:r>
          </w:p>
        </w:tc>
        <w:tc>
          <w:tcPr>
            <w:tcW w:type="dxa" w:w="4904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4904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Materiality status and linked disclosure</w:t>
            </w:r>
          </w:p>
        </w:tc>
        <w:tc>
          <w:tcPr>
            <w:tcW w:type="dxa" w:w="4904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4904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Owner, reviewer and reassessment trigger</w:t>
            </w:r>
          </w:p>
        </w:tc>
        <w:tc>
          <w:tcPr>
            <w:tcW w:type="dxa" w:w="4904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</w:tbl>
    <w:p/>
    <w:p>
      <w:pPr>
        <w:pStyle w:val="Heading2"/>
        <w:keepNext/>
      </w:pPr>
      <w:r>
        <w:t>Tool 6 - investor materiality decision matrix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69"/>
        <w:gridCol w:w="3269"/>
        <w:gridCol w:w="3269"/>
      </w:tblGrid>
      <w:tr>
        <w:trPr>
          <w:tblHeader w:val="true"/>
        </w:trPr>
        <w:tc>
          <w:tcPr>
            <w:tcW w:type="dxa" w:w="3269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6"/>
              </w:rPr>
              <w:t>Dimension</w:t>
            </w:r>
          </w:p>
        </w:tc>
        <w:tc>
          <w:tcPr>
            <w:tcW w:type="dxa" w:w="3269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6"/>
              </w:rPr>
              <w:t>Assessment and evidence</w:t>
            </w:r>
          </w:p>
        </w:tc>
        <w:tc>
          <w:tcPr>
            <w:tcW w:type="dxa" w:w="3269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6"/>
              </w:rPr>
              <w:t>Conclusion / rationale</w:t>
            </w:r>
          </w:p>
        </w:tc>
      </w:tr>
      <w:tr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Primary-user decision</w:t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Prospects pathway</w:t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Nature / qualitative significance</w:t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Magnitude / concentration</w:t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Likelihood and range of outcomes</w:t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Timing and reversibility</w:t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Combination with other information</w:t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Aggregation / disaggregation</w:t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Obscuring and report placement</w:t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Decision: disclose / combine / not material / monitor</w:t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Approver and date</w:t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3269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</w:tbl>
    <w:p/>
    <w:p>
      <w:pPr>
        <w:pStyle w:val="Heading2"/>
        <w:keepNext/>
      </w:pPr>
      <w:r>
        <w:t>Tool 7 - metric, data and evidence register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52"/>
        <w:gridCol w:w="2452"/>
        <w:gridCol w:w="2452"/>
        <w:gridCol w:w="2452"/>
      </w:tblGrid>
      <w:tr>
        <w:trPr>
          <w:tblHeader w:val="true"/>
        </w:trPr>
        <w:tc>
          <w:tcPr>
            <w:tcW w:type="dxa" w:w="245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5"/>
              </w:rPr>
              <w:t>Metric / disclosure</w:t>
            </w:r>
          </w:p>
        </w:tc>
        <w:tc>
          <w:tcPr>
            <w:tcW w:type="dxa" w:w="245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5"/>
              </w:rPr>
              <w:t>Definition and boundary</w:t>
            </w:r>
          </w:p>
        </w:tc>
        <w:tc>
          <w:tcPr>
            <w:tcW w:type="dxa" w:w="245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5"/>
              </w:rPr>
              <w:t>Source / method</w:t>
            </w:r>
          </w:p>
        </w:tc>
        <w:tc>
          <w:tcPr>
            <w:tcW w:type="dxa" w:w="245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5"/>
              </w:rPr>
              <w:t>Owner / control</w:t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  <w:tr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5"/>
              </w:rPr>
            </w:r>
          </w:p>
        </w:tc>
      </w:tr>
    </w:tbl>
    <w:p/>
    <w:p>
      <w:pPr>
        <w:pStyle w:val="Heading2"/>
        <w:keepNext/>
      </w:pPr>
      <w:r>
        <w:t>Tool 8 - current and anticipated financial effects bridge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62"/>
        <w:gridCol w:w="1962"/>
        <w:gridCol w:w="1962"/>
        <w:gridCol w:w="1962"/>
        <w:gridCol w:w="1962"/>
      </w:tblGrid>
      <w:tr>
        <w:trPr>
          <w:tblHeader w:val="true"/>
        </w:trPr>
        <w:tc>
          <w:tcPr>
            <w:tcW w:type="dxa" w:w="196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4"/>
              </w:rPr>
              <w:t>Risk / opportunity</w:t>
            </w:r>
          </w:p>
        </w:tc>
        <w:tc>
          <w:tcPr>
            <w:tcW w:type="dxa" w:w="196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4"/>
              </w:rPr>
              <w:t>Financial line or pathway</w:t>
            </w:r>
          </w:p>
        </w:tc>
        <w:tc>
          <w:tcPr>
            <w:tcW w:type="dxa" w:w="196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4"/>
              </w:rPr>
              <w:t>Current effect</w:t>
            </w:r>
          </w:p>
        </w:tc>
        <w:tc>
          <w:tcPr>
            <w:tcW w:type="dxa" w:w="196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4"/>
              </w:rPr>
              <w:t>Anticipated effect / horizon</w:t>
            </w:r>
          </w:p>
        </w:tc>
        <w:tc>
          <w:tcPr>
            <w:tcW w:type="dxa" w:w="196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4"/>
              </w:rPr>
              <w:t>Assumptions / evidence</w:t>
            </w:r>
          </w:p>
        </w:tc>
      </w:tr>
      <w:tr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</w:tr>
      <w:tr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</w:tr>
      <w:tr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</w:tr>
      <w:tr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</w:tr>
      <w:tr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</w:tr>
      <w:tr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</w:tr>
    </w:tbl>
    <w:p/>
    <w:p>
      <w:pPr>
        <w:pStyle w:val="Heading2"/>
        <w:keepNext/>
      </w:pPr>
      <w:r>
        <w:t>Tool 9 - disclosure and cross-reference map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62"/>
        <w:gridCol w:w="1962"/>
        <w:gridCol w:w="1962"/>
        <w:gridCol w:w="1962"/>
        <w:gridCol w:w="1962"/>
      </w:tblGrid>
      <w:tr>
        <w:trPr>
          <w:tblHeader w:val="true"/>
        </w:trPr>
        <w:tc>
          <w:tcPr>
            <w:tcW w:type="dxa" w:w="196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4"/>
              </w:rPr>
              <w:t>Material matter</w:t>
            </w:r>
          </w:p>
        </w:tc>
        <w:tc>
          <w:tcPr>
            <w:tcW w:type="dxa" w:w="196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4"/>
              </w:rPr>
              <w:t>Governance</w:t>
            </w:r>
          </w:p>
        </w:tc>
        <w:tc>
          <w:tcPr>
            <w:tcW w:type="dxa" w:w="196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4"/>
              </w:rPr>
              <w:t>Strategy / financial effects</w:t>
            </w:r>
          </w:p>
        </w:tc>
        <w:tc>
          <w:tcPr>
            <w:tcW w:type="dxa" w:w="196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4"/>
              </w:rPr>
              <w:t>Risk management</w:t>
            </w:r>
          </w:p>
        </w:tc>
        <w:tc>
          <w:tcPr>
            <w:tcW w:type="dxa" w:w="196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4"/>
              </w:rPr>
              <w:t>Metrics / targets / location</w:t>
            </w:r>
          </w:p>
        </w:tc>
      </w:tr>
      <w:tr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</w:tr>
      <w:tr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</w:tr>
      <w:tr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</w:tr>
      <w:tr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</w:tr>
      <w:tr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  <w:tc>
          <w:tcPr>
            <w:tcW w:type="dxa" w:w="196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4"/>
              </w:rPr>
            </w:r>
          </w:p>
        </w:tc>
      </w:tr>
    </w:tbl>
    <w:p/>
    <w:p>
      <w:pPr>
        <w:pStyle w:val="Heading2"/>
        <w:keepNext/>
      </w:pPr>
      <w:r>
        <w:t>Tool 10 - final approval gate</w:t>
      </w:r>
    </w:p>
    <w:p>
      <w:pPr/>
      <w:r>
        <w:rPr>
          <w:rFonts w:ascii="Arial" w:hAnsi="Arial" w:eastAsia="Arial"/>
        </w:rPr>
        <w:t>☐ The final publication version matches the version reviewed by management and the board.</w:t>
      </w:r>
    </w:p>
    <w:p>
      <w:pPr/>
      <w:r>
        <w:rPr>
          <w:rFonts w:ascii="Arial" w:hAnsi="Arial" w:eastAsia="Arial"/>
        </w:rPr>
        <w:t>☐ The reporting basis, standards, reliefs and intended statements are explicit.</w:t>
      </w:r>
    </w:p>
    <w:p>
      <w:pPr/>
      <w:r>
        <w:rPr>
          <w:rFonts w:ascii="Arial" w:hAnsi="Arial" w:eastAsia="Arial"/>
        </w:rPr>
        <w:t>☐ Material risks and opportunities are complete and traceable to approved records.</w:t>
      </w:r>
    </w:p>
    <w:p>
      <w:pPr/>
      <w:r>
        <w:rPr>
          <w:rFonts w:ascii="Arial" w:hAnsi="Arial" w:eastAsia="Arial"/>
        </w:rPr>
        <w:t>☐ Materiality decisions and aggregation choices are documented.</w:t>
      </w:r>
    </w:p>
    <w:p>
      <w:pPr/>
      <w:r>
        <w:rPr>
          <w:rFonts w:ascii="Arial" w:hAnsi="Arial" w:eastAsia="Arial"/>
        </w:rPr>
        <w:t>☐ Governance, strategy, risk management, metrics and targets are connected.</w:t>
      </w:r>
    </w:p>
    <w:p>
      <w:pPr/>
      <w:r>
        <w:rPr>
          <w:rFonts w:ascii="Arial" w:hAnsi="Arial" w:eastAsia="Arial"/>
        </w:rPr>
        <w:t>☐ Current and anticipated financial effects have been reviewed by finance.</w:t>
      </w:r>
    </w:p>
    <w:p>
      <w:pPr/>
      <w:r>
        <w:rPr>
          <w:rFonts w:ascii="Arial" w:hAnsi="Arial" w:eastAsia="Arial"/>
        </w:rPr>
        <w:t>☐ UK SRS S2 is complete or paragraph E3 use is disclosed and controlled.</w:t>
      </w:r>
    </w:p>
    <w:p>
      <w:pPr/>
      <w:r>
        <w:rPr>
          <w:rFonts w:ascii="Arial" w:hAnsi="Arial" w:eastAsia="Arial"/>
        </w:rPr>
        <w:t>☐ Methods, estimates, uncertainty, limitations and data gaps are transparent.</w:t>
      </w:r>
    </w:p>
    <w:p>
      <w:pPr/>
      <w:r>
        <w:rPr>
          <w:rFonts w:ascii="Arial" w:hAnsi="Arial" w:eastAsia="Arial"/>
        </w:rPr>
        <w:t>☐ Data, evidence, controls and management representations are retained.</w:t>
      </w:r>
    </w:p>
    <w:p>
      <w:pPr/>
      <w:r>
        <w:rPr>
          <w:rFonts w:ascii="Arial" w:hAnsi="Arial" w:eastAsia="Arial"/>
        </w:rPr>
        <w:t>☐ Assurance scope is described separately from standards compliance.</w:t>
      </w:r>
    </w:p>
    <w:p>
      <w:pPr/>
      <w:r>
        <w:rPr>
          <w:rFonts w:ascii="Arial" w:hAnsi="Arial" w:eastAsia="Arial"/>
        </w:rPr>
        <w:t>☐ Claims are consistent across all public channels.</w:t>
      </w:r>
    </w:p>
    <w:p>
      <w:pPr/>
      <w:r>
        <w:rPr>
          <w:rFonts w:ascii="Arial" w:hAnsi="Arial" w:eastAsia="Arial"/>
        </w:rPr>
        <w:t>☐ Post-publication monitoring and update triggers are assigned.</w:t>
      </w:r>
    </w:p>
    <w:p>
      <w:pPr>
        <w:pStyle w:val="Heading2"/>
        <w:keepNext/>
      </w:pPr>
      <w:r>
        <w:t>Approval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52"/>
        <w:gridCol w:w="2452"/>
        <w:gridCol w:w="2452"/>
        <w:gridCol w:w="2452"/>
      </w:tblGrid>
      <w:tr>
        <w:trPr>
          <w:tblHeader w:val="true"/>
        </w:trPr>
        <w:tc>
          <w:tcPr>
            <w:tcW w:type="dxa" w:w="245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6"/>
              </w:rPr>
              <w:t>Role</w:t>
            </w:r>
          </w:p>
        </w:tc>
        <w:tc>
          <w:tcPr>
            <w:tcW w:type="dxa" w:w="245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6"/>
              </w:rPr>
              <w:t>Name</w:t>
            </w:r>
          </w:p>
        </w:tc>
        <w:tc>
          <w:tcPr>
            <w:tcW w:type="dxa" w:w="245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6"/>
              </w:rPr>
              <w:t>Decision / date</w:t>
            </w:r>
          </w:p>
        </w:tc>
        <w:tc>
          <w:tcPr>
            <w:tcW w:type="dxa" w:w="2452"/>
            <w:shd w:fill="173B6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FFFFFF"/>
                <w:sz w:val="16"/>
              </w:rPr>
              <w:t>Open actions</w:t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Reporting owner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CFO / finance reviewer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Risk / strategy reviewer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Company secretary / legal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Technical reviewer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Internal audit / assurance readiness</w:t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2452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  <w:tr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/>
                <w:color w:val="1C2733"/>
                <w:sz w:val="16"/>
              </w:rPr>
              <w:t>Board or committee chair</w:t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  <w:tc>
          <w:tcPr>
            <w:tcW w:type="dxa" w:w="2452"/>
            <w:shd w:fill="F4F6F8"/>
            <w:tcMar>
              <w:top w:w="75" w:type="dxa"/>
              <w:start w:w="80" w:type="dxa"/>
              <w:bottom w:w="75" w:type="dxa"/>
              <w:end w:w="80" w:type="dxa"/>
            </w:tcMar>
          </w:tcPr>
          <w:p>
            <w:r>
              <w:rPr>
                <w:rFonts w:ascii="Arial" w:hAnsi="Arial" w:eastAsia="Arial"/>
                <w:b w:val="0"/>
                <w:color w:val="1C2733"/>
                <w:sz w:val="16"/>
              </w:rPr>
            </w:r>
          </w:p>
        </w:tc>
      </w:tr>
    </w:tbl>
    <w:p/>
    <w:p>
      <w:pPr>
        <w:pStyle w:val="Heading2"/>
        <w:keepNext/>
      </w:pPr>
      <w:r>
        <w:t>Sources, status and review</w:t>
      </w:r>
    </w:p>
    <w:p>
      <w:pPr/>
      <w:r>
        <w:t>Official sources maintained in this batch are listed below. The principal paragraph anchors identify the sources directly supporting this article; other entries provide closely related implementation, regulatory or comparison context.</w:t>
      </w:r>
    </w:p>
    <w:p>
      <w:pPr/>
      <w:r>
        <w:rPr>
          <w:rFonts w:ascii="Arial" w:hAnsi="Arial" w:eastAsia="Arial"/>
        </w:rPr>
        <w:t>SRC-01. UK SRS S1 General Requirements for Disclosure of Sustainability-related Financial Information - Department for Business and Trade, 25 February 2026. Final UK standard; primary normative source. https://www.gov.uk/government/publications/uk-sustainability-reporting-standards-uk-srs-s1-and-uk-srs-s2</w:t>
      </w:r>
    </w:p>
    <w:p>
      <w:pPr/>
      <w:r>
        <w:rPr>
          <w:rFonts w:ascii="Arial" w:hAnsi="Arial" w:eastAsia="Arial"/>
        </w:rPr>
        <w:t>SRC-02. UK SRS S2 Climate-related Disclosures - Department for Business and Trade, 25 February 2026. Final UK standard; primary source for climate reporting. https://www.gov.uk/government/publications/uk-sustainability-reporting-standards-uk-srs-s1-and-uk-srs-s2</w:t>
      </w:r>
    </w:p>
    <w:p>
      <w:pPr/>
      <w:r>
        <w:rPr>
          <w:rFonts w:ascii="Arial" w:hAnsi="Arial" w:eastAsia="Arial"/>
        </w:rPr>
        <w:t>SRC-03. Government response to the consultation on UK Sustainability Reporting Standards - Department for Business and Trade, 25 February 2026. Official explanation of final UK amendments, voluntary use and relief treatment. https://www.gov.uk/government/consultations/exposure-drafts-uk-sustainability-reporting-standards/outcome/government-response-to-the-consultation-on-uk-sustainability-reporting-standards-web-version</w:t>
      </w:r>
    </w:p>
    <w:p>
      <w:pPr/>
      <w:r>
        <w:rPr>
          <w:rFonts w:ascii="Arial" w:hAnsi="Arial" w:eastAsia="Arial"/>
        </w:rPr>
        <w:t>SRC-04. Sustainability Reporting Developments: Frequently Asked Questions - Financial Reporting Council, Updated 26 February 2026. Official UK implementation context and FAQ. https://www.frc.org.uk/library/standards-codes-policy/accounting-and-reporting/annual-corporate-reporting/sustainability-reporting-developments-frequently-asked-questions/</w:t>
      </w:r>
    </w:p>
    <w:p>
      <w:pPr/>
      <w:r>
        <w:rPr>
          <w:rFonts w:ascii="Arial" w:hAnsi="Arial" w:eastAsia="Arial"/>
        </w:rPr>
        <w:t>SRC-05. CP26/5: Aligning listed issuers' sustainability disclosures with international standards - Financial Conduct Authority, 30 January 2026. Closed consultation; not final rules at 6 August 2026. https://www.fca.org.uk/publications/consultation-papers/cp26-5-sustainability-disclosures</w:t>
      </w:r>
    </w:p>
    <w:p>
      <w:pPr/>
      <w:r>
        <w:rPr>
          <w:rFonts w:ascii="Arial" w:hAnsi="Arial" w:eastAsia="Arial"/>
        </w:rPr>
        <w:t>SRC-06. Guidance on the Strategic Report - Financial Reporting Council, 4 February 2026. Official non-mandatory guidance; UK annual-report connectivity context. https://www.frc.org.uk/library/standards-codes-policy/accounting-and-reporting/annual-corporate-reporting/guidance-on-the-strategic-report/</w:t>
      </w:r>
    </w:p>
    <w:p>
      <w:pPr/>
      <w:r>
        <w:rPr>
          <w:rFonts w:ascii="Arial" w:hAnsi="Arial" w:eastAsia="Arial"/>
        </w:rPr>
        <w:t>SRC-07. IFRS S1 General Requirements for Disclosure of Sustainability-related Financial Information - IFRS Foundation, June 2023. International standard; comparison source for dual UK/IFRS claims. https://www.ifrs.org/issued-standards/ifrs-sustainability-standards-navigator/ifrs-s1-general-requirements/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808"/>
      </w:tblGrid>
      <w:tr>
        <w:tc>
          <w:tcPr>
            <w:tcW w:type="dxa" w:w="9808"/>
            <w:shd w:fill="E8F3F3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4" w:color="B6C7D8"/>
              <w:bottom w:val="single" w:sz="4" w:color="B6C7D8"/>
              <w:right w:val="single" w:sz="4" w:color="B6C7D8"/>
              <w:left w:val="single" w:sz="18" w:color="2E7B8A"/>
            </w:tcBorders>
          </w:tcPr>
          <w:p>
            <w:r>
              <w:rPr>
                <w:rFonts w:ascii="Arial" w:hAnsi="Arial" w:eastAsia="Arial"/>
                <w:b/>
                <w:color w:val="2E7B8A"/>
                <w:sz w:val="20"/>
              </w:rPr>
              <w:t>Principal paragraph anchors</w:t>
              <w:br/>
            </w:r>
            <w:r>
              <w:rPr>
                <w:rFonts w:ascii="Arial" w:hAnsi="Arial" w:eastAsia="Arial"/>
                <w:color w:val="1C2733"/>
                <w:sz w:val="18"/>
              </w:rPr>
              <w:t>UK SRS S1 and UK SRS S2, final February 2026 editions; The related five Knowledge Hub articles in this package.</w:t>
            </w:r>
          </w:p>
        </w:tc>
      </w:tr>
    </w:tbl>
    <w:p/>
    <w:p>
      <w:pPr/>
      <w:r>
        <w:rPr>
          <w:rFonts w:ascii="Arial" w:hAnsi="Arial" w:eastAsia="Arial"/>
        </w:rPr>
        <w:t>Technical review date: 6 August 2026. The UK SRS regulatory position should be rechecked before publication or use in a live reporting cycle. FCA CP26/5 remains a proposal at this review date; it is not treated here as final law or rules.</w:t>
      </w:r>
    </w:p>
    <w:sectPr>
      <w:headerReference w:type="default" r:id="rId9"/>
      <w:footerReference w:type="default" r:id="rId10"/>
      <w:pgSz w:w="11906" w:h="16838"/>
      <w:pgMar w:top="1020" w:right="1049" w:bottom="879" w:left="1049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t xml:space="preserve">UKSRS1-TOOL-006  |  Reviewed 6 August 2026  |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color="4C86B8" w:space="4"/>
      </w:pBdr>
    </w:pPr>
    <w:r>
      <w:t>LONDON REPORTING ACADEMY  ·  KNOWLEDGE HUB  ·  UK SRS S1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10" w:line="264" w:lineRule="auto"/>
    </w:pPr>
    <w:rPr>
      <w:rFonts w:ascii="Arial" w:hAnsi="Arial"/>
      <w:color w:val="18212B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D3068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D3068"/>
      <w:sz w:val="3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E5A8A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0D3068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rial" w:hAnsi="Arial"/>
      <w:b w:val="0"/>
      <w:i/>
      <w:iCs/>
      <w:color w:val="59636E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RACaption">
    <w:name w:val="LRA Caption"/>
    <w:pPr>
      <w:spacing w:after="140"/>
    </w:pPr>
    <w:rPr>
      <w:rFonts w:ascii="Arial" w:hAnsi="Arial"/>
      <w:i/>
      <w:color w:val="59636E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s://assets.publishing.service.gov.uk/media/699dd3b007d7bff3604d6c5e/uk_srs_1_general_requirements_for_disclosure_of_sustainability_related_financial_information.pdf" TargetMode="External"/><Relationship Id="rId14" Type="http://schemas.openxmlformats.org/officeDocument/2006/relationships/hyperlink" Target="https://assets.publishing.service.gov.uk/media/699ddf22532c9ad91ebbcc2b/uk_srs_s2_climate_related_disclosures.pdf" TargetMode="External"/><Relationship Id="rId15" Type="http://schemas.openxmlformats.org/officeDocument/2006/relationships/hyperlink" Target="https://www.gov.uk/government/consultations/exposure-drafts-uk-sustainability-reporting-standards/outcome/government-response-to-the-consultation-on-uk-sustainability-reporting-standards-web-version" TargetMode="External"/><Relationship Id="rId16" Type="http://schemas.openxmlformats.org/officeDocument/2006/relationships/hyperlink" Target="https://www.frc.org.uk/library/standards-codes-policy/accounting-and-reporting/annual-corporate-reporting/sustainability-reporting-developments-frequently-asked-questions/" TargetMode="External"/><Relationship Id="rId17" Type="http://schemas.openxmlformats.org/officeDocument/2006/relationships/hyperlink" Target="https://www.fca.org.uk/publications/consultation-papers/cp26-5-sustainability-disclosures" TargetMode="External"/><Relationship Id="rId18" Type="http://schemas.openxmlformats.org/officeDocument/2006/relationships/hyperlink" Target="https://www.frc.org.uk/library/standards-codes-policy/accounting-and-reporting/annual-corporate-reporting/guidance-on-the-strategic-report/" TargetMode="External"/><Relationship Id="rId19" Type="http://schemas.openxmlformats.org/officeDocument/2006/relationships/hyperlink" Target="https://www.frc.org.uk/library/standards-codes-policy/corporate-governance/uk-corporate-governance-code/" TargetMode="External"/><Relationship Id="rId20" Type="http://schemas.openxmlformats.org/officeDocument/2006/relationships/hyperlink" Target="https://www.frc.org.uk/docs/9420/html/" TargetMode="External"/><Relationship Id="rId21" Type="http://schemas.openxmlformats.org/officeDocument/2006/relationships/hyperlink" Target="https://www.frc.org.uk/library/standards-codes-policy/audit-assurance-and-ethics/assurance-standar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 SRS S1 First-Cycle Working Toolkit</dc:title>
  <dc:subject>Editable registers and approval aids for reporting basis, implementation planning, paragraph E3, claims, materiality, risk and opportunity identification, metrics, financial effects and board sign-off.</dc:subject>
  <dc:creator/>
  <cp:keywords>UK SRS S1, UK sustainability reporting, materiality, climate-only relief, sustainability-related risks and opportunities</cp:keywords>
  <dc:description>Reviewed 2 August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