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jc w:val="left"/>
      </w:pPr>
      <w:r>
        <w:drawing>
          <wp:inline xmlns:a="http://schemas.openxmlformats.org/drawingml/2006/main" xmlns:pic="http://schemas.openxmlformats.org/drawingml/2006/picture">
            <wp:extent cx="4023360" cy="66703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RA_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6670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160"/>
      </w:pPr>
      <w:r>
        <w:rPr>
          <w:rFonts w:ascii="Arial" w:hAnsi="Arial"/>
          <w:b/>
          <w:color w:val="1E5A8A"/>
          <w:sz w:val="21"/>
        </w:rPr>
        <w:t>LRA KNOWLEDGE HUB  ·  UK SRS S1</w:t>
      </w:r>
    </w:p>
    <w:p>
      <w:pPr>
        <w:pStyle w:val="Title"/>
        <w:spacing w:after="200"/>
      </w:pPr>
      <w:r>
        <w:rPr>
          <w:rFonts w:ascii="Arial" w:hAnsi="Arial"/>
          <w:b/>
          <w:color w:val="0D3068"/>
          <w:sz w:val="54"/>
        </w:rPr>
        <w:t>UK SRS S1 Report Template - Editable Drafting Tool</w:t>
      </w:r>
    </w:p>
    <w:p>
      <w:pPr>
        <w:pStyle w:val="Subtitle"/>
        <w:spacing w:after="300"/>
      </w:pPr>
      <w:r>
        <w:rPr>
          <w:rFonts w:ascii="Arial" w:hAnsi="Arial"/>
          <w:color w:val="59636E"/>
          <w:sz w:val="24"/>
        </w:rPr>
        <w:t>A Word-based annual-report drafting framework with Basis of Preparation, four-pillar prompts, evidence fields, cross-reference index and sign-off controls.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922"/>
            <w:shd w:fill="0D3068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61"/>
        <w:gridCol w:w="4961"/>
      </w:tblGrid>
      <w:tr>
        <w:tc>
          <w:tcPr>
            <w:tcW w:type="dxa" w:w="2232"/>
            <w:shd w:fill="EAF2F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color="B9CAD9"/>
              <w:left w:val="single" w:sz="4" w:color="B9CAD9"/>
              <w:bottom w:val="single" w:sz="4" w:color="B9CAD9"/>
              <w:right w:val="single" w:sz="4" w:color="B9CAD9"/>
            </w:tcBorders>
          </w:tcPr>
          <w:p>
            <w:r>
              <w:rPr>
                <w:rFonts w:ascii="Arial" w:hAnsi="Arial"/>
                <w:b/>
                <w:color w:val="0D3068"/>
                <w:sz w:val="17"/>
              </w:rPr>
              <w:t>Article ID</w:t>
            </w:r>
          </w:p>
        </w:tc>
        <w:tc>
          <w:tcPr>
            <w:tcW w:type="dxa" w:w="75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color="B9CAD9"/>
              <w:left w:val="single" w:sz="4" w:color="B9CAD9"/>
              <w:bottom w:val="single" w:sz="4" w:color="B9CAD9"/>
              <w:right w:val="single" w:sz="4" w:color="B9CAD9"/>
            </w:tcBorders>
          </w:tcPr>
          <w:p>
            <w:r>
              <w:rPr>
                <w:rFonts w:ascii="Arial" w:hAnsi="Arial"/>
                <w:b w:val="0"/>
                <w:color w:val="18212B"/>
                <w:sz w:val="17"/>
              </w:rPr>
              <w:t>UKSRS1-TEMPLATE-EDITABLE</w:t>
            </w:r>
          </w:p>
        </w:tc>
      </w:tr>
      <w:tr>
        <w:tc>
          <w:tcPr>
            <w:tcW w:type="dxa" w:w="2232"/>
            <w:shd w:fill="EAF2F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color="B9CAD9"/>
              <w:left w:val="single" w:sz="4" w:color="B9CAD9"/>
              <w:bottom w:val="single" w:sz="4" w:color="B9CAD9"/>
              <w:right w:val="single" w:sz="4" w:color="B9CAD9"/>
            </w:tcBorders>
          </w:tcPr>
          <w:p>
            <w:r>
              <w:rPr>
                <w:rFonts w:ascii="Arial" w:hAnsi="Arial"/>
                <w:b/>
                <w:color w:val="0D3068"/>
                <w:sz w:val="17"/>
              </w:rPr>
              <w:t>Format</w:t>
            </w:r>
          </w:p>
        </w:tc>
        <w:tc>
          <w:tcPr>
            <w:tcW w:type="dxa" w:w="75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color="B9CAD9"/>
              <w:left w:val="single" w:sz="4" w:color="B9CAD9"/>
              <w:bottom w:val="single" w:sz="4" w:color="B9CAD9"/>
              <w:right w:val="single" w:sz="4" w:color="B9CAD9"/>
            </w:tcBorders>
          </w:tcPr>
          <w:p>
            <w:r>
              <w:rPr>
                <w:rFonts w:ascii="Arial" w:hAnsi="Arial"/>
                <w:b w:val="0"/>
                <w:color w:val="18212B"/>
                <w:sz w:val="17"/>
              </w:rPr>
              <w:t>Editable implementation tool</w:t>
            </w:r>
          </w:p>
        </w:tc>
      </w:tr>
      <w:tr>
        <w:tc>
          <w:tcPr>
            <w:tcW w:type="dxa" w:w="2232"/>
            <w:shd w:fill="EAF2F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color="B9CAD9"/>
              <w:left w:val="single" w:sz="4" w:color="B9CAD9"/>
              <w:bottom w:val="single" w:sz="4" w:color="B9CAD9"/>
              <w:right w:val="single" w:sz="4" w:color="B9CAD9"/>
            </w:tcBorders>
          </w:tcPr>
          <w:p>
            <w:r>
              <w:rPr>
                <w:rFonts w:ascii="Arial" w:hAnsi="Arial"/>
                <w:b/>
                <w:color w:val="0D3068"/>
                <w:sz w:val="17"/>
              </w:rPr>
              <w:t>Primary audience</w:t>
            </w:r>
          </w:p>
        </w:tc>
        <w:tc>
          <w:tcPr>
            <w:tcW w:type="dxa" w:w="75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color="B9CAD9"/>
              <w:left w:val="single" w:sz="4" w:color="B9CAD9"/>
              <w:bottom w:val="single" w:sz="4" w:color="B9CAD9"/>
              <w:right w:val="single" w:sz="4" w:color="B9CAD9"/>
            </w:tcBorders>
          </w:tcPr>
          <w:p>
            <w:r>
              <w:rPr>
                <w:rFonts w:ascii="Arial" w:hAnsi="Arial"/>
                <w:b w:val="0"/>
                <w:color w:val="18212B"/>
                <w:sz w:val="17"/>
              </w:rPr>
              <w:t>UK SRS reporting teams, finance, legal, governance and technical reviewers</w:t>
            </w:r>
          </w:p>
        </w:tc>
      </w:tr>
      <w:tr>
        <w:tc>
          <w:tcPr>
            <w:tcW w:type="dxa" w:w="2232"/>
            <w:shd w:fill="EAF2F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color="B9CAD9"/>
              <w:left w:val="single" w:sz="4" w:color="B9CAD9"/>
              <w:bottom w:val="single" w:sz="4" w:color="B9CAD9"/>
              <w:right w:val="single" w:sz="4" w:color="B9CAD9"/>
            </w:tcBorders>
          </w:tcPr>
          <w:p>
            <w:r>
              <w:rPr>
                <w:rFonts w:ascii="Arial" w:hAnsi="Arial"/>
                <w:b/>
                <w:color w:val="0D3068"/>
                <w:sz w:val="17"/>
              </w:rPr>
              <w:t>Technical status</w:t>
            </w:r>
          </w:p>
        </w:tc>
        <w:tc>
          <w:tcPr>
            <w:tcW w:type="dxa" w:w="75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color="B9CAD9"/>
              <w:left w:val="single" w:sz="4" w:color="B9CAD9"/>
              <w:bottom w:val="single" w:sz="4" w:color="B9CAD9"/>
              <w:right w:val="single" w:sz="4" w:color="B9CAD9"/>
            </w:tcBorders>
          </w:tcPr>
          <w:p>
            <w:r>
              <w:rPr>
                <w:rFonts w:ascii="Arial" w:hAnsi="Arial"/>
                <w:b w:val="0"/>
                <w:color w:val="18212B"/>
                <w:sz w:val="17"/>
              </w:rPr>
              <w:t>Prepared against UK SRS editions issued 25 February 2026; reviewed 2 August 2026</w:t>
            </w:r>
          </w:p>
        </w:tc>
      </w:tr>
    </w:tbl>
    <w:p>
      <w:pPr>
        <w:spacing w:before="320"/>
      </w:pPr>
      <w:r>
        <w:rPr>
          <w:rFonts w:ascii="Arial" w:hAnsi="Arial"/>
          <w:i/>
          <w:color w:val="59636E"/>
          <w:sz w:val="18"/>
        </w:rPr>
        <w:t>Educational practitioner material. Illustrative examples and wording require adaptation and technical review.</w:t>
      </w:r>
    </w:p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shd w:fill="FFF4DF"/>
            <w:tcBorders>
              <w:top w:val="single" w:sz="3" w:color="B9CAD9"/>
              <w:left w:val="single" w:sz="18" w:color="A76900"/>
              <w:bottom w:val="single" w:sz="3" w:color="B9CAD9"/>
              <w:right w:val="single" w:sz="3" w:color="B9CAD9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A76900"/>
                <w:sz w:val="21"/>
              </w:rPr>
              <w:t>How to use this template</w:t>
            </w:r>
          </w:p>
          <w:p>
            <w:pPr>
              <w:spacing w:after="0"/>
            </w:pPr>
            <w:r>
              <w:rPr>
                <w:rFonts w:ascii="Arial" w:hAnsi="Arial"/>
                <w:color w:val="18212B"/>
                <w:sz w:val="19"/>
              </w:rPr>
              <w:t>Complete only the prompts relevant to material information and the approved reporting basis. Replace all bracketed text. Link every material statement to evidence, a named owner and a reviewer. Delete unused drafting instructions before publication. This tool is not an official government template and does not guarantee compliance.</w:t>
            </w:r>
          </w:p>
        </w:tc>
      </w:tr>
    </w:tbl>
    <w:p>
      <w:pPr>
        <w:spacing w:after="2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shd w:fill="F5F8FB"/>
            <w:tcBorders>
              <w:top w:val="single" w:sz="3" w:color="B9CAD9"/>
              <w:left w:val="single" w:sz="18" w:color="1E5A8A"/>
              <w:bottom w:val="single" w:sz="3" w:color="B9CAD9"/>
              <w:right w:val="single" w:sz="3" w:color="B9CAD9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1E5A8A"/>
                <w:sz w:val="21"/>
              </w:rPr>
              <w:t>Current status</w:t>
            </w:r>
          </w:p>
          <w:p>
            <w:pPr>
              <w:spacing w:after="0"/>
            </w:pPr>
            <w:r>
              <w:rPr>
                <w:rFonts w:ascii="Arial" w:hAnsi="Arial"/>
                <w:color w:val="18212B"/>
                <w:sz w:val="19"/>
              </w:rPr>
              <w:t>UK SRS S1 and UK SRS S2 were issued on 25 February 2026 and are available for voluntary use. They are not, by themselves, a general mandatory reporting regime. Any future mandatory route, including FCA or Companies Act requirements, must be checked against the final rules applicable to the entity and reporting period.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Arial" w:hAnsi="Arial"/>
          <w:b/>
          <w:color w:val="0D3068"/>
          <w:sz w:val="38"/>
        </w:rPr>
        <w:t>1. Basis of Preparation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State the reporting entity and reconcile it to the related financial statements. Explain acquisitions, disposals and metric-specific boundary differences.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State the period and confirm publication at the same time as the related financial statements.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State voluntary use or the exact mandatory law/rule and its effective period.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Identify UK SRS S1 and S2 and the February 2026 editions; identify other guidance separately.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Explain primary users, prospects, the information materiality test, aggregation, obscuring and reassessment.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Identify industries and specific sources actually applied, including metrics taken or adapted.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List each paragraph, reason, affected disclosure, compensating information and claim effect.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Describe the judgements with the most significant effect on the disclosures.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Identify highly uncertain amounts, sources, assumptions, sensitivity and possible outcomes.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Describe report placement and list precise controlled references.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Insert wording only after technical and legal review of the complete basis.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Arial" w:hAnsi="Arial"/>
          <w:b/>
          <w:color w:val="0D3068"/>
          <w:sz w:val="38"/>
        </w:rPr>
        <w:t>2. Executive Overview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Summarise the material sustainability-related risks and opportunities affecting prospects and the major changes in the period.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Summarise the most important business-model, strategy, financial-effect and resilience conclusions.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Summarise reliefs, material uncertainty, scope limitations and assurance coverage.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Arial" w:hAnsi="Arial"/>
          <w:b/>
          <w:color w:val="0D3068"/>
          <w:sz w:val="38"/>
        </w:rPr>
        <w:t>3. Governance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Identify the body or individual and how responsibilities are reflected in mandates and policies.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Explain how appropriate skills are available or developed.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Explain how and how often the body is informed and what escalation thresholds apply.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Explain how sustainability matters are considered in strategy, major transactions and risk management.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Explain oversight of target setting, progress and any remuneration links.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Explain management delegation, reporting lines and integration of controls with other functions.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Arial" w:hAnsi="Arial"/>
          <w:b/>
          <w:color w:val="0D3068"/>
          <w:sz w:val="38"/>
        </w:rPr>
        <w:t>4. Strategy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Describe the matter, cause, exposure, concentration and time horizon.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Describe current and anticipated effects and where they are concentrated.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Describe responses, plans, progress, decisions and trade-offs.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Describe effects on financial position, performance and cash flows in the period.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Describe expected effects over short, medium and long term and how they are included in financial planning.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Provide amounts or ranges, or explain relief use and affected line items.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Describe the assessment, assumptions, capacity to adapt and limitations.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Arial" w:hAnsi="Arial"/>
          <w:b/>
          <w:color w:val="0D3068"/>
          <w:sz w:val="38"/>
        </w:rPr>
        <w:t>5. Risk Management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Explain methods, sources, value-chain coverage and triggers.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Explain criteria, uncertainty, prioritisation and links to materiality.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Explain metrics, thresholds, incidents, changes and escalation.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Explain integration with enterprise risk management, strategy, finance and controls.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Describe significant changes from the previous period.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Arial" w:hAnsi="Arial"/>
          <w:b/>
          <w:color w:val="0D3068"/>
          <w:sz w:val="38"/>
        </w:rPr>
        <w:t>6. Metrics and Targets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List metrics required by an applicable UK Sustainability Reporting Standard.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List metrics used to monitor each material risk/opportunity and performance.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Explain industry relevance, source, inclusion and any adaptation.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Define metric, boundary, unit, type, validation, calculation, inputs, limitations and assumptions.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State metric, target, period, base period, milestones and approval.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Report performance, trend, missed milestones and corrective action.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Explain revisions, replacements, restatements and comparability effects.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Arial" w:hAnsi="Arial"/>
          <w:b/>
          <w:color w:val="0D3068"/>
          <w:sz w:val="38"/>
        </w:rPr>
        <w:t>7. Judgements, Uncertainty and Errors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Explain the judgements that most affected material information.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Explain why specific guidance and industries were applied.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Describe ranges, scenarios, capability and uncertainty judgements.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Describe extrapolation, allocation, factors, missing data and sensitivity.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Describe changes in estimates or methods and corrections of material prior-period errors.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Arial" w:hAnsi="Arial"/>
          <w:b/>
          <w:color w:val="0D3068"/>
          <w:sz w:val="38"/>
        </w:rPr>
        <w:t>8. Cross-Reference, Assurance and Approval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Identify exact requirement/topic, document, page/anchor, access, timing, owner and version.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State subject matter, criteria, level, provider, period, boundary, exclusions and conclusion.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Record reconciliation to Strategic Report, principal risks, KPIs and financial statements.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Record completeness, data, finance, legal and control representations.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 w:sz="0" w:color="FFFFFF"/>
              <w:left w:val="nil" w:sz="0" w:color="FFFFFF"/>
              <w:bottom w:val="nil" w:sz="0" w:color="FFFFFF"/>
              <w:right w:val="nil" w:sz="0" w:color="FFFFFF"/>
            </w:tcBorders>
          </w:tcPr>
          <w:p>
            <w:pPr>
              <w:spacing w:after="0" w:line="24" w:lineRule="auto"/>
            </w:pPr>
            <w:r>
              <w:rPr>
                <w:rFonts w:ascii="Arial" w:hAnsi="Arial"/>
                <w:color w:val="FFFFFF"/>
                <w:sz w:val="2"/>
              </w:rPr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896"/>
              <w:gridCol w:w="4896"/>
            </w:tblGrid>
            <w:tr>
              <w:trPr>
                <w:cantSplit/>
              </w:trPr>
              <w:tc>
                <w:tcPr>
                  <w:tcW w:type="dxa" w:w="2088"/>
                  <w:shd w:fill="0D306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7"/>
                    </w:rPr>
                    <w:t>Prompt</w:t>
                  </w:r>
                </w:p>
              </w:tc>
              <w:tc>
                <w:tcPr>
                  <w:tcW w:type="dxa" w:w="7459"/>
                  <w:shd w:fill="FFFFFF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Record dates, documents, claim, reliefs, conditions and delegated authority.</w:t>
                  </w:r>
                </w:p>
              </w:tc>
            </w:tr>
            <w:tr>
              <w:trPr>
                <w:cantSplit/>
                <w:trHeight w:val="90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Draft response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entity-specific disclosure]</w:t>
                  </w:r>
                </w:p>
              </w:tc>
            </w:tr>
            <w:tr>
              <w:trPr>
                <w:cantSplit/>
                <w:trHeight w:val="640" w:hRule="atLeast"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Evidence / source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[Insert evidence IDs, system reports, calculations, policies, minutes or cross-references]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088"/>
                  <w:shd w:fill="EAF2F8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/>
                      <w:color w:val="0D3068"/>
                      <w:sz w:val="17"/>
                    </w:rPr>
                    <w:t>Owner / reviewer / status</w:t>
                  </w:r>
                </w:p>
              </w:tc>
              <w:tc>
                <w:tcPr>
                  <w:tcW w:type="dxa" w:w="7459"/>
                  <w:shd w:fill="F5F8FB"/>
                  <w:tcMar>
                    <w:top w:w="100" w:type="dxa"/>
                    <w:start w:w="110" w:type="dxa"/>
                    <w:bottom w:w="100" w:type="dxa"/>
                    <w:end w:w="110" w:type="dxa"/>
                  </w:tcMar>
                  <w:tcBorders>
                    <w:top w:val="single" w:sz="3" w:color="B9CAD9"/>
                    <w:left w:val="single" w:sz="3" w:color="B9CAD9"/>
                    <w:bottom w:val="single" w:sz="3" w:color="B9CAD9"/>
                    <w:right w:val="single" w:sz="3" w:color="B9CAD9"/>
                  </w:tcBorders>
                </w:tcPr>
                <w:p>
                  <w:r>
                    <w:rPr>
                      <w:rFonts w:ascii="Arial" w:hAnsi="Arial"/>
                      <w:b w:val="0"/>
                      <w:color w:val="18212B"/>
                      <w:sz w:val="17"/>
                    </w:rPr>
                    <w:t>Owner: [ ]   Reviewer: [ ]   Status: [Not started / Draft / Reviewed / Approved]</w:t>
                  </w:r>
                </w:p>
              </w:tc>
            </w:tr>
          </w:tbl>
          <w:p/>
        </w:tc>
      </w:tr>
    </w:tbl>
    <w:p>
      <w:pPr>
        <w:spacing w:after="40"/>
      </w:pPr>
    </w:p>
    <w:p>
      <w:pPr>
        <w:pStyle w:val="Heading1"/>
        <w:pageBreakBefore/>
      </w:pPr>
      <w:r>
        <w:t>Cross-reference and disclosure index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417"/>
        <w:gridCol w:w="1417"/>
        <w:gridCol w:w="1417"/>
        <w:gridCol w:w="1417"/>
        <w:gridCol w:w="1417"/>
        <w:gridCol w:w="1417"/>
        <w:gridCol w:w="1417"/>
      </w:tblGrid>
      <w:tr>
        <w:trPr>
          <w:tblHeader w:val="true"/>
        </w:trPr>
        <w:tc>
          <w:tcPr>
            <w:tcW w:type="dxa" w:w="1735"/>
            <w:shd w:fill="0D3068"/>
            <w:tcMar>
              <w:top w:w="95" w:type="dxa"/>
              <w:start w:w="100" w:type="dxa"/>
              <w:bottom w:w="95" w:type="dxa"/>
              <w:end w:w="100" w:type="dxa"/>
            </w:tcMar>
            <w:tcBorders>
              <w:top w:val="single" w:sz="4" w:color="0D3068"/>
              <w:left w:val="single" w:sz="4" w:color="FFFFFF"/>
              <w:bottom w:val="single" w:sz="4" w:color="0D3068"/>
              <w:right w:val="single" w:sz="4" w:color="FFFFFF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6"/>
              </w:rPr>
              <w:t>Requirement / topic</w:t>
            </w:r>
          </w:p>
        </w:tc>
        <w:tc>
          <w:tcPr>
            <w:tcW w:type="dxa" w:w="1363"/>
            <w:shd w:fill="0D3068"/>
            <w:tcMar>
              <w:top w:w="95" w:type="dxa"/>
              <w:start w:w="100" w:type="dxa"/>
              <w:bottom w:w="95" w:type="dxa"/>
              <w:end w:w="100" w:type="dxa"/>
            </w:tcMar>
            <w:tcBorders>
              <w:top w:val="single" w:sz="4" w:color="0D3068"/>
              <w:left w:val="single" w:sz="4" w:color="FFFFFF"/>
              <w:bottom w:val="single" w:sz="4" w:color="0D3068"/>
              <w:right w:val="single" w:sz="4" w:color="FFFFFF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6"/>
              </w:rPr>
              <w:t>Location</w:t>
            </w:r>
          </w:p>
        </w:tc>
        <w:tc>
          <w:tcPr>
            <w:tcW w:type="dxa" w:w="2231"/>
            <w:shd w:fill="0D3068"/>
            <w:tcMar>
              <w:top w:w="95" w:type="dxa"/>
              <w:start w:w="100" w:type="dxa"/>
              <w:bottom w:w="95" w:type="dxa"/>
              <w:end w:w="100" w:type="dxa"/>
            </w:tcMar>
            <w:tcBorders>
              <w:top w:val="single" w:sz="4" w:color="0D3068"/>
              <w:left w:val="single" w:sz="4" w:color="FFFFFF"/>
              <w:bottom w:val="single" w:sz="4" w:color="0D3068"/>
              <w:right w:val="single" w:sz="4" w:color="FFFFFF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6"/>
              </w:rPr>
              <w:t>Document / URL</w:t>
            </w:r>
          </w:p>
        </w:tc>
        <w:tc>
          <w:tcPr>
            <w:tcW w:type="dxa" w:w="1115"/>
            <w:shd w:fill="0D3068"/>
            <w:tcMar>
              <w:top w:w="95" w:type="dxa"/>
              <w:start w:w="100" w:type="dxa"/>
              <w:bottom w:w="95" w:type="dxa"/>
              <w:end w:w="100" w:type="dxa"/>
            </w:tcMar>
            <w:tcBorders>
              <w:top w:val="single" w:sz="4" w:color="0D3068"/>
              <w:left w:val="single" w:sz="4" w:color="FFFFFF"/>
              <w:bottom w:val="single" w:sz="4" w:color="0D3068"/>
              <w:right w:val="single" w:sz="4" w:color="FFFFFF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1115"/>
            <w:shd w:fill="0D3068"/>
            <w:tcMar>
              <w:top w:w="95" w:type="dxa"/>
              <w:start w:w="100" w:type="dxa"/>
              <w:bottom w:w="95" w:type="dxa"/>
              <w:end w:w="100" w:type="dxa"/>
            </w:tcMar>
            <w:tcBorders>
              <w:top w:val="single" w:sz="4" w:color="0D3068"/>
              <w:left w:val="single" w:sz="4" w:color="FFFFFF"/>
              <w:bottom w:val="single" w:sz="4" w:color="0D3068"/>
              <w:right w:val="single" w:sz="4" w:color="FFFFFF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6"/>
              </w:rPr>
              <w:t>Reviewer</w:t>
            </w:r>
          </w:p>
        </w:tc>
        <w:tc>
          <w:tcPr>
            <w:tcW w:type="dxa" w:w="1115"/>
            <w:shd w:fill="0D3068"/>
            <w:tcMar>
              <w:top w:w="95" w:type="dxa"/>
              <w:start w:w="100" w:type="dxa"/>
              <w:bottom w:w="95" w:type="dxa"/>
              <w:end w:w="100" w:type="dxa"/>
            </w:tcMar>
            <w:tcBorders>
              <w:top w:val="single" w:sz="4" w:color="0D3068"/>
              <w:left w:val="single" w:sz="4" w:color="FFFFFF"/>
              <w:bottom w:val="single" w:sz="4" w:color="0D3068"/>
              <w:right w:val="single" w:sz="4" w:color="FFFFFF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6"/>
              </w:rPr>
              <w:t>Assurance</w:t>
            </w:r>
          </w:p>
        </w:tc>
        <w:tc>
          <w:tcPr>
            <w:tcW w:type="dxa" w:w="1115"/>
            <w:shd w:fill="0D3068"/>
            <w:tcMar>
              <w:top w:w="95" w:type="dxa"/>
              <w:start w:w="100" w:type="dxa"/>
              <w:bottom w:w="95" w:type="dxa"/>
              <w:end w:w="100" w:type="dxa"/>
            </w:tcMar>
            <w:tcBorders>
              <w:top w:val="single" w:sz="4" w:color="0D3068"/>
              <w:left w:val="single" w:sz="4" w:color="FFFFFF"/>
              <w:bottom w:val="single" w:sz="4" w:color="0D3068"/>
              <w:right w:val="single" w:sz="4" w:color="FFFFFF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</w:tr>
      <w:tr>
        <w:trPr>
          <w:cantSplit/>
        </w:trPr>
        <w:tc>
          <w:tcPr>
            <w:tcW w:type="dxa" w:w="173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363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2231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</w:tr>
      <w:tr>
        <w:trPr>
          <w:cantSplit/>
        </w:trPr>
        <w:tc>
          <w:tcPr>
            <w:tcW w:type="dxa" w:w="173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363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2231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</w:tr>
      <w:tr>
        <w:trPr>
          <w:cantSplit/>
        </w:trPr>
        <w:tc>
          <w:tcPr>
            <w:tcW w:type="dxa" w:w="173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363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2231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</w:tr>
      <w:tr>
        <w:trPr>
          <w:cantSplit/>
        </w:trPr>
        <w:tc>
          <w:tcPr>
            <w:tcW w:type="dxa" w:w="173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363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2231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</w:tr>
      <w:tr>
        <w:trPr>
          <w:cantSplit/>
        </w:trPr>
        <w:tc>
          <w:tcPr>
            <w:tcW w:type="dxa" w:w="173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363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2231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</w:tr>
      <w:tr>
        <w:trPr>
          <w:cantSplit/>
        </w:trPr>
        <w:tc>
          <w:tcPr>
            <w:tcW w:type="dxa" w:w="173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363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2231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</w:tr>
      <w:tr>
        <w:trPr>
          <w:cantSplit/>
        </w:trPr>
        <w:tc>
          <w:tcPr>
            <w:tcW w:type="dxa" w:w="173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363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2231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</w:tr>
      <w:tr>
        <w:trPr>
          <w:cantSplit/>
        </w:trPr>
        <w:tc>
          <w:tcPr>
            <w:tcW w:type="dxa" w:w="173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363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2231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</w:tr>
      <w:tr>
        <w:trPr>
          <w:cantSplit/>
        </w:trPr>
        <w:tc>
          <w:tcPr>
            <w:tcW w:type="dxa" w:w="173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363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2231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</w:tr>
      <w:tr>
        <w:trPr>
          <w:cantSplit/>
        </w:trPr>
        <w:tc>
          <w:tcPr>
            <w:tcW w:type="dxa" w:w="173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363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2231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</w:tr>
      <w:tr>
        <w:trPr>
          <w:cantSplit/>
        </w:trPr>
        <w:tc>
          <w:tcPr>
            <w:tcW w:type="dxa" w:w="173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363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2231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</w:tr>
      <w:tr>
        <w:trPr>
          <w:cantSplit/>
        </w:trPr>
        <w:tc>
          <w:tcPr>
            <w:tcW w:type="dxa" w:w="173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363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2231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</w:tr>
      <w:tr>
        <w:trPr>
          <w:cantSplit/>
        </w:trPr>
        <w:tc>
          <w:tcPr>
            <w:tcW w:type="dxa" w:w="173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363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2231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</w:tr>
      <w:tr>
        <w:trPr>
          <w:cantSplit/>
        </w:trPr>
        <w:tc>
          <w:tcPr>
            <w:tcW w:type="dxa" w:w="173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363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2231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</w:tr>
      <w:tr>
        <w:trPr>
          <w:cantSplit/>
        </w:trPr>
        <w:tc>
          <w:tcPr>
            <w:tcW w:type="dxa" w:w="173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363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2231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</w:tr>
      <w:tr>
        <w:trPr>
          <w:cantSplit/>
        </w:trPr>
        <w:tc>
          <w:tcPr>
            <w:tcW w:type="dxa" w:w="173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363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2231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</w:tr>
      <w:tr>
        <w:trPr>
          <w:cantSplit/>
        </w:trPr>
        <w:tc>
          <w:tcPr>
            <w:tcW w:type="dxa" w:w="173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363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2231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</w:tr>
      <w:tr>
        <w:trPr>
          <w:cantSplit/>
        </w:trPr>
        <w:tc>
          <w:tcPr>
            <w:tcW w:type="dxa" w:w="173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363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2231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</w:tr>
      <w:tr>
        <w:trPr>
          <w:cantSplit/>
        </w:trPr>
        <w:tc>
          <w:tcPr>
            <w:tcW w:type="dxa" w:w="173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363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2231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</w:tr>
      <w:tr>
        <w:trPr>
          <w:cantSplit/>
        </w:trPr>
        <w:tc>
          <w:tcPr>
            <w:tcW w:type="dxa" w:w="173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363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2231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  <w:tc>
          <w:tcPr>
            <w:tcW w:type="dxa" w:w="1115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t>Final sign-off record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61"/>
        <w:gridCol w:w="4961"/>
      </w:tblGrid>
      <w:tr>
        <w:trPr>
          <w:tblHeader w:val="true"/>
        </w:trPr>
        <w:tc>
          <w:tcPr>
            <w:tcW w:type="dxa" w:w="3168"/>
            <w:shd w:fill="0D3068"/>
            <w:tcMar>
              <w:top w:w="95" w:type="dxa"/>
              <w:start w:w="100" w:type="dxa"/>
              <w:bottom w:w="95" w:type="dxa"/>
              <w:end w:w="100" w:type="dxa"/>
            </w:tcMar>
            <w:tcBorders>
              <w:top w:val="single" w:sz="4" w:color="0D3068"/>
              <w:left w:val="single" w:sz="4" w:color="FFFFFF"/>
              <w:bottom w:val="single" w:sz="4" w:color="0D3068"/>
              <w:right w:val="single" w:sz="4" w:color="FFFFFF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6"/>
              </w:rPr>
              <w:t>Approval field</w:t>
            </w:r>
          </w:p>
        </w:tc>
        <w:tc>
          <w:tcPr>
            <w:tcW w:type="dxa" w:w="6623"/>
            <w:shd w:fill="0D3068"/>
            <w:tcMar>
              <w:top w:w="95" w:type="dxa"/>
              <w:start w:w="100" w:type="dxa"/>
              <w:bottom w:w="95" w:type="dxa"/>
              <w:end w:w="100" w:type="dxa"/>
            </w:tcMar>
            <w:tcBorders>
              <w:top w:val="single" w:sz="4" w:color="0D3068"/>
              <w:left w:val="single" w:sz="4" w:color="FFFFFF"/>
              <w:bottom w:val="single" w:sz="4" w:color="0D3068"/>
              <w:right w:val="single" w:sz="4" w:color="FFFFFF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6"/>
              </w:rPr>
              <w:t>Record</w:t>
            </w:r>
          </w:p>
        </w:tc>
      </w:tr>
      <w:tr>
        <w:trPr>
          <w:cantSplit/>
        </w:trPr>
        <w:tc>
          <w:tcPr>
            <w:tcW w:type="dxa" w:w="3168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  <w:t>Reporting basis and claim</w:t>
            </w:r>
          </w:p>
        </w:tc>
        <w:tc>
          <w:tcPr>
            <w:tcW w:type="dxa" w:w="6623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  <w:t>[Insert approved basis and exact final wording]</w:t>
            </w:r>
          </w:p>
        </w:tc>
      </w:tr>
      <w:tr>
        <w:trPr>
          <w:cantSplit/>
        </w:trPr>
        <w:tc>
          <w:tcPr>
            <w:tcW w:type="dxa" w:w="3168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  <w:t>Management disclosure committee</w:t>
            </w:r>
          </w:p>
        </w:tc>
        <w:tc>
          <w:tcPr>
            <w:tcW w:type="dxa" w:w="6623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  <w:t>Date: [ ]  Decision: [ ]  Conditions: [ ]</w:t>
            </w:r>
          </w:p>
        </w:tc>
      </w:tr>
      <w:tr>
        <w:trPr>
          <w:cantSplit/>
        </w:trPr>
        <w:tc>
          <w:tcPr>
            <w:tcW w:type="dxa" w:w="3168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  <w:t>CFO sign-off</w:t>
            </w:r>
          </w:p>
        </w:tc>
        <w:tc>
          <w:tcPr>
            <w:tcW w:type="dxa" w:w="6623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  <w:t>Date: [ ]  Representation reference: [ ]</w:t>
            </w:r>
          </w:p>
        </w:tc>
      </w:tr>
      <w:tr>
        <w:trPr>
          <w:cantSplit/>
        </w:trPr>
        <w:tc>
          <w:tcPr>
            <w:tcW w:type="dxa" w:w="3168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  <w:t>Company secretary / legal review</w:t>
            </w:r>
          </w:p>
        </w:tc>
        <w:tc>
          <w:tcPr>
            <w:tcW w:type="dxa" w:w="6623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  <w:t>Date: [ ]  Claim and placement review: [ ]</w:t>
            </w:r>
          </w:p>
        </w:tc>
      </w:tr>
      <w:tr>
        <w:trPr>
          <w:cantSplit/>
        </w:trPr>
        <w:tc>
          <w:tcPr>
            <w:tcW w:type="dxa" w:w="3168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  <w:t>Audit / risk committee</w:t>
            </w:r>
          </w:p>
        </w:tc>
        <w:tc>
          <w:tcPr>
            <w:tcW w:type="dxa" w:w="6623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  <w:t>Date: [ ]  Decision: [ ]</w:t>
            </w:r>
          </w:p>
        </w:tc>
      </w:tr>
      <w:tr>
        <w:trPr>
          <w:cantSplit/>
        </w:trPr>
        <w:tc>
          <w:tcPr>
            <w:tcW w:type="dxa" w:w="3168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  <w:t>Board approval</w:t>
            </w:r>
          </w:p>
        </w:tc>
        <w:tc>
          <w:tcPr>
            <w:tcW w:type="dxa" w:w="6623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  <w:t>Date: [ ]  Version approved: [ ]  Conditions / delegated authority: [ ]</w:t>
            </w:r>
          </w:p>
        </w:tc>
      </w:tr>
      <w:tr>
        <w:trPr>
          <w:cantSplit/>
        </w:trPr>
        <w:tc>
          <w:tcPr>
            <w:tcW w:type="dxa" w:w="3168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  <w:t>Assurance report</w:t>
            </w:r>
          </w:p>
        </w:tc>
        <w:tc>
          <w:tcPr>
            <w:tcW w:type="dxa" w:w="6623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  <w:t>Provider: [ ]  Subject matter / level / date: [ ]</w:t>
            </w:r>
          </w:p>
        </w:tc>
      </w:tr>
      <w:tr>
        <w:trPr>
          <w:cantSplit/>
        </w:trPr>
        <w:tc>
          <w:tcPr>
            <w:tcW w:type="dxa" w:w="3168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  <w:t>Publication record</w:t>
            </w:r>
          </w:p>
        </w:tc>
        <w:tc>
          <w:tcPr>
            <w:tcW w:type="dxa" w:w="6623"/>
            <w:vAlign w:val="top"/>
            <w:shd w:fill="F5F8FB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  <w:t>Annual report date: [ ]  Referenced files / URLs / checksums: [ ]</w:t>
            </w:r>
          </w:p>
        </w:tc>
      </w:tr>
      <w:tr>
        <w:trPr>
          <w:cantSplit/>
        </w:trPr>
        <w:tc>
          <w:tcPr>
            <w:tcW w:type="dxa" w:w="3168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  <w:t>Next review triggers</w:t>
            </w:r>
          </w:p>
        </w:tc>
        <w:tc>
          <w:tcPr>
            <w:tcW w:type="dxa" w:w="6623"/>
            <w:vAlign w:val="top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3" w:color="B9CAD9"/>
              <w:left w:val="single" w:sz="3" w:color="B9CAD9"/>
              <w:bottom w:val="single" w:sz="3" w:color="B9CAD9"/>
              <w:right w:val="single" w:sz="3" w:color="B9CAD9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8212B"/>
                <w:sz w:val="16"/>
              </w:rPr>
              <w:t>[Insert regulatory, standard, data and project triggers]</w:t>
            </w:r>
          </w:p>
        </w:tc>
      </w:tr>
    </w:tbl>
    <w:p>
      <w:pPr>
        <w:spacing w:after="2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22"/>
      </w:tblGrid>
      <w:tr>
        <w:trPr>
          <w:cantSplit/>
        </w:trPr>
        <w:tc>
          <w:tcPr>
            <w:tcW w:type="dxa" w:w="9792"/>
            <w:shd w:fill="F5F8FB"/>
            <w:tcBorders>
              <w:top w:val="single" w:sz="3" w:color="B9CAD9"/>
              <w:left w:val="single" w:sz="18" w:color="59636E"/>
              <w:bottom w:val="single" w:sz="3" w:color="B9CAD9"/>
              <w:right w:val="single" w:sz="3" w:color="B9CAD9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59636E"/>
                <w:sz w:val="21"/>
              </w:rPr>
              <w:t>Final-use limitation</w:t>
            </w:r>
          </w:p>
          <w:p>
            <w:pPr>
              <w:spacing w:after="0"/>
            </w:pPr>
            <w:r>
              <w:rPr>
                <w:rFonts w:ascii="Arial" w:hAnsi="Arial"/>
                <w:color w:val="18212B"/>
                <w:sz w:val="19"/>
              </w:rPr>
              <w:t>This educational material is not legal advice, an assurance opinion or a substitute for reading the current official standards, applicable legislation and regulator rules. Illustrative wording and scenarios must be adapted to the entity's facts.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964" w:right="992" w:bottom="964" w:left="992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color w:val="59636E"/>
        <w:sz w:val="16"/>
      </w:rPr>
      <w:t xml:space="preserve">UKSRS1-TEMPLATE-EDITABLE  |  Reviewed 2 August 2026  |  </w:t>
    </w:r>
    <w:r>
      <w:rPr>
        <w:rFonts w:ascii="Arial" w:hAnsi="Arial"/>
        <w:color w:val="59636E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color="4C86B8" w:space="4"/>
      </w:pBdr>
    </w:pPr>
    <w:r>
      <w:rPr>
        <w:rFonts w:ascii="Arial" w:hAnsi="Arial"/>
        <w:b/>
        <w:color w:val="0D3068"/>
        <w:sz w:val="16"/>
      </w:rPr>
      <w:t>LONDON REPORTING ACADEMY  ·  KNOWLEDGE HUB  ·  UK SRS S1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10" w:line="264" w:lineRule="auto"/>
    </w:pPr>
    <w:rPr>
      <w:rFonts w:ascii="Arial" w:hAnsi="Arial"/>
      <w:color w:val="18212B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D3068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D3068"/>
      <w:sz w:val="3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E5A8A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0D3068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Arial" w:hAnsi="Arial"/>
      <w:b w:val="0"/>
      <w:i/>
      <w:iCs/>
      <w:color w:val="59636E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RACaption">
    <w:name w:val="LRA Caption"/>
    <w:pPr>
      <w:spacing w:after="140"/>
    </w:pPr>
    <w:rPr>
      <w:rFonts w:ascii="Arial" w:hAnsi="Arial"/>
      <w:i/>
      <w:color w:val="59636E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 SRS S1 Report Template - Editable Drafting Tool</dc:title>
  <dc:subject/>
  <dc:creator>London Reporting Academy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