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07D" w:rsidRPr="007A607D" w:rsidRDefault="007A607D" w:rsidP="007A607D">
      <w:pPr>
        <w:autoSpaceDE w:val="0"/>
        <w:autoSpaceDN w:val="0"/>
        <w:adjustRightInd w:val="0"/>
        <w:spacing w:line="360" w:lineRule="auto"/>
        <w:jc w:val="center"/>
        <w:rPr>
          <w:rFonts w:cs="David"/>
          <w:b/>
          <w:bCs/>
          <w:szCs w:val="24"/>
        </w:rPr>
      </w:pPr>
      <w:r w:rsidRPr="007A607D">
        <w:rPr>
          <w:rFonts w:cs="David"/>
          <w:b/>
          <w:bCs/>
          <w:szCs w:val="24"/>
          <w:rtl/>
        </w:rPr>
        <w:t>רשימת</w:t>
      </w:r>
      <w:r w:rsidRPr="007A607D">
        <w:rPr>
          <w:rFonts w:cs="David"/>
          <w:b/>
          <w:bCs/>
          <w:szCs w:val="24"/>
        </w:rPr>
        <w:t xml:space="preserve"> </w:t>
      </w:r>
      <w:r w:rsidRPr="007A607D">
        <w:rPr>
          <w:rFonts w:cs="David"/>
          <w:b/>
          <w:bCs/>
          <w:szCs w:val="24"/>
          <w:rtl/>
        </w:rPr>
        <w:t>הטכנולוגיות</w:t>
      </w:r>
      <w:r w:rsidRPr="007A607D">
        <w:rPr>
          <w:rFonts w:cs="David"/>
          <w:b/>
          <w:bCs/>
          <w:szCs w:val="24"/>
        </w:rPr>
        <w:t xml:space="preserve"> </w:t>
      </w:r>
      <w:r w:rsidRPr="007A607D">
        <w:rPr>
          <w:rFonts w:cs="David"/>
          <w:b/>
          <w:bCs/>
          <w:szCs w:val="24"/>
          <w:rtl/>
        </w:rPr>
        <w:t>הרפואיות</w:t>
      </w:r>
    </w:p>
    <w:p w:rsidR="007A607D" w:rsidRPr="007A607D" w:rsidRDefault="007A607D" w:rsidP="007A607D">
      <w:pPr>
        <w:autoSpaceDE w:val="0"/>
        <w:autoSpaceDN w:val="0"/>
        <w:adjustRightInd w:val="0"/>
        <w:spacing w:line="360" w:lineRule="auto"/>
        <w:rPr>
          <w:rFonts w:cs="David"/>
          <w:b/>
          <w:bCs/>
          <w:szCs w:val="24"/>
          <w:rtl/>
        </w:rPr>
      </w:pPr>
    </w:p>
    <w:p w:rsidR="007A607D" w:rsidRPr="007A607D" w:rsidRDefault="007A607D" w:rsidP="007A607D">
      <w:pPr>
        <w:autoSpaceDE w:val="0"/>
        <w:autoSpaceDN w:val="0"/>
        <w:adjustRightInd w:val="0"/>
        <w:spacing w:line="360" w:lineRule="auto"/>
        <w:rPr>
          <w:rFonts w:cs="David"/>
          <w:b/>
          <w:bCs/>
          <w:szCs w:val="24"/>
          <w:rtl/>
        </w:rPr>
      </w:pPr>
      <w:r w:rsidRPr="007A607D">
        <w:rPr>
          <w:rFonts w:cs="David"/>
          <w:b/>
          <w:bCs/>
          <w:szCs w:val="24"/>
          <w:rtl/>
        </w:rPr>
        <w:t>א</w:t>
      </w:r>
      <w:r w:rsidRPr="007A607D">
        <w:rPr>
          <w:rFonts w:cs="David"/>
          <w:b/>
          <w:bCs/>
          <w:szCs w:val="24"/>
        </w:rPr>
        <w:t xml:space="preserve">. </w:t>
      </w:r>
      <w:r w:rsidRPr="007A607D">
        <w:rPr>
          <w:rFonts w:cs="David"/>
          <w:b/>
          <w:bCs/>
          <w:szCs w:val="24"/>
          <w:rtl/>
        </w:rPr>
        <w:t xml:space="preserve">טכנולוגיות באחריות קופות החולים </w:t>
      </w:r>
    </w:p>
    <w:tbl>
      <w:tblPr>
        <w:bidiVisual/>
        <w:tblW w:w="9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75"/>
        <w:gridCol w:w="26"/>
        <w:gridCol w:w="5771"/>
      </w:tblGrid>
      <w:tr w:rsidR="007A607D" w:rsidRPr="007A607D" w:rsidTr="007A607D">
        <w:trPr>
          <w:cantSplit/>
          <w:tblHeader/>
        </w:trPr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b/>
                <w:bCs/>
                <w:szCs w:val="24"/>
              </w:rPr>
            </w:pPr>
            <w:r w:rsidRPr="007A607D">
              <w:rPr>
                <w:rFonts w:cs="David"/>
                <w:b/>
                <w:bCs/>
                <w:szCs w:val="24"/>
                <w:rtl/>
              </w:rPr>
              <w:t>שם הטכנולוגיה</w:t>
            </w:r>
          </w:p>
        </w:tc>
        <w:tc>
          <w:tcPr>
            <w:tcW w:w="5797" w:type="dxa"/>
            <w:gridSpan w:val="2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b/>
                <w:bCs/>
                <w:szCs w:val="24"/>
              </w:rPr>
            </w:pPr>
            <w:r w:rsidRPr="007A607D">
              <w:rPr>
                <w:rFonts w:cs="David"/>
                <w:b/>
                <w:bCs/>
                <w:szCs w:val="24"/>
                <w:rtl/>
              </w:rPr>
              <w:t>התוויה</w:t>
            </w:r>
          </w:p>
        </w:tc>
      </w:tr>
      <w:tr w:rsidR="007A607D" w:rsidRPr="007A607D" w:rsidTr="007A607D"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>טיפול שיניים משקם לאחר כריתה חלקית או מלאה של הלסתות עקב גידולים שפירים או ציסטות בלסתות</w:t>
            </w:r>
          </w:p>
        </w:tc>
        <w:tc>
          <w:tcPr>
            <w:tcW w:w="5797" w:type="dxa"/>
            <w:gridSpan w:val="2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>טיפול שיניים משקם לאחר כריתה חלקית או מלאה של הלסתות עקב גידולים שפירים או ציסטות בלסתות</w:t>
            </w:r>
          </w:p>
        </w:tc>
      </w:tr>
      <w:tr w:rsidR="007A607D" w:rsidRPr="007A607D" w:rsidTr="007A607D"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>השתלת רקמת שחלה בנשים שהקפיאו רקמת שחלה (על רקע ממאירות) למטרת שימור פוריות</w:t>
            </w:r>
          </w:p>
        </w:tc>
        <w:tc>
          <w:tcPr>
            <w:tcW w:w="5797" w:type="dxa"/>
            <w:gridSpan w:val="2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>השתלת רקמת שחלה בנשים שהקפיאו רקמת שחלה (על רקע ממאירות) למטרת שימור פוריות (עד 2 ילדים למשפחה)</w:t>
            </w:r>
          </w:p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>הזכאות תהיה אך ורק לנשים שהקפיאו רקמת שחלה בהתאם להתוויות הכלולות בסל.</w:t>
            </w:r>
          </w:p>
        </w:tc>
      </w:tr>
      <w:tr w:rsidR="007A607D" w:rsidRPr="007A607D" w:rsidTr="007A607D"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 w:hint="cs"/>
                <w:szCs w:val="24"/>
                <w:rtl/>
              </w:rPr>
              <w:t xml:space="preserve">שינוי גובה התקצוב של מכשירי שמיעה לבני 31 עד 50 ל-3494 ₪ </w:t>
            </w:r>
          </w:p>
        </w:tc>
        <w:tc>
          <w:tcPr>
            <w:tcW w:w="5797" w:type="dxa"/>
            <w:gridSpan w:val="2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 w:hint="cs"/>
                <w:szCs w:val="24"/>
                <w:rtl/>
              </w:rPr>
              <w:t xml:space="preserve">זכאות כפי שנקבעה בחוזר </w:t>
            </w:r>
            <w:proofErr w:type="spellStart"/>
            <w:r w:rsidRPr="007A607D">
              <w:rPr>
                <w:rFonts w:cs="David" w:hint="cs"/>
                <w:szCs w:val="24"/>
                <w:rtl/>
              </w:rPr>
              <w:t>מינהל</w:t>
            </w:r>
            <w:proofErr w:type="spellEnd"/>
            <w:r w:rsidRPr="007A607D">
              <w:rPr>
                <w:rFonts w:cs="David" w:hint="cs"/>
                <w:szCs w:val="24"/>
                <w:rtl/>
              </w:rPr>
              <w:t xml:space="preserve"> רפואה החל ביחס למכשירי שמיעה לשאר הגילאים הכלולים בסל</w:t>
            </w:r>
          </w:p>
        </w:tc>
      </w:tr>
      <w:tr w:rsidR="007A607D" w:rsidRPr="007A607D" w:rsidTr="007A607D"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</w:rPr>
            </w:pPr>
            <w:r w:rsidRPr="007A607D">
              <w:rPr>
                <w:rFonts w:cs="David"/>
                <w:szCs w:val="24"/>
                <w:rtl/>
              </w:rPr>
              <w:t xml:space="preserve">בדיקת דימות באמצעות מכשיר </w:t>
            </w:r>
            <w:r w:rsidRPr="007A607D">
              <w:rPr>
                <w:rFonts w:cs="David"/>
                <w:szCs w:val="24"/>
              </w:rPr>
              <w:t>PET</w:t>
            </w:r>
          </w:p>
        </w:tc>
        <w:tc>
          <w:tcPr>
            <w:tcW w:w="5797" w:type="dxa"/>
            <w:gridSpan w:val="2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 xml:space="preserve">סרטן כליה -  </w:t>
            </w:r>
          </w:p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</w:rPr>
              <w:t>restaging</w:t>
            </w:r>
            <w:r w:rsidRPr="007A607D">
              <w:rPr>
                <w:rFonts w:cs="David"/>
                <w:szCs w:val="24"/>
                <w:rtl/>
              </w:rPr>
              <w:t xml:space="preserve"> חשד לחזרה של גרורות</w:t>
            </w:r>
          </w:p>
        </w:tc>
      </w:tr>
      <w:tr w:rsidR="007A607D" w:rsidRPr="007A607D" w:rsidTr="007A607D"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</w:rPr>
            </w:pPr>
            <w:r w:rsidRPr="007A607D">
              <w:rPr>
                <w:rFonts w:cs="David"/>
                <w:szCs w:val="24"/>
                <w:rtl/>
              </w:rPr>
              <w:t xml:space="preserve">בדיקת דימות באמצעות מכשיר </w:t>
            </w:r>
            <w:r w:rsidRPr="007A607D">
              <w:rPr>
                <w:rFonts w:cs="David"/>
                <w:szCs w:val="24"/>
              </w:rPr>
              <w:t>PET</w:t>
            </w:r>
          </w:p>
        </w:tc>
        <w:tc>
          <w:tcPr>
            <w:tcW w:w="5797" w:type="dxa"/>
            <w:gridSpan w:val="2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 xml:space="preserve">סרטן שלפוחית השתן - </w:t>
            </w:r>
          </w:p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</w:rPr>
              <w:t>Staging</w:t>
            </w:r>
            <w:r w:rsidRPr="007A607D">
              <w:rPr>
                <w:rFonts w:cs="David"/>
                <w:szCs w:val="24"/>
                <w:rtl/>
              </w:rPr>
              <w:t xml:space="preserve"> - שלילת גרורות מרוחקות בגידול ראשוני בסיכון גבוה, כאשר יש חשד לגרורות שלא התגלו ב-</w:t>
            </w:r>
            <w:r w:rsidRPr="007A607D">
              <w:rPr>
                <w:rFonts w:cs="David"/>
                <w:szCs w:val="24"/>
              </w:rPr>
              <w:t>CT</w:t>
            </w:r>
            <w:r w:rsidRPr="007A607D">
              <w:rPr>
                <w:rFonts w:cs="David"/>
                <w:szCs w:val="24"/>
                <w:rtl/>
              </w:rPr>
              <w:t xml:space="preserve"> או </w:t>
            </w:r>
            <w:r w:rsidRPr="007A607D">
              <w:rPr>
                <w:rFonts w:cs="David"/>
                <w:szCs w:val="24"/>
              </w:rPr>
              <w:t>MRI</w:t>
            </w:r>
            <w:r w:rsidRPr="007A607D">
              <w:rPr>
                <w:rFonts w:cs="David"/>
                <w:szCs w:val="24"/>
                <w:rtl/>
              </w:rPr>
              <w:t>, לפני החלטה על התערבות כירורגית לכריתה נרחבת</w:t>
            </w:r>
          </w:p>
        </w:tc>
      </w:tr>
      <w:tr w:rsidR="007A607D" w:rsidRPr="007A607D" w:rsidTr="007A607D"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 xml:space="preserve">מערכת לב מלאכותי </w:t>
            </w:r>
          </w:p>
        </w:tc>
        <w:tc>
          <w:tcPr>
            <w:tcW w:w="5797" w:type="dxa"/>
            <w:gridSpan w:val="2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 w:hint="cs"/>
                <w:szCs w:val="24"/>
                <w:rtl/>
              </w:rPr>
              <w:t xml:space="preserve">עבור </w:t>
            </w:r>
            <w:r w:rsidRPr="007A607D">
              <w:rPr>
                <w:rFonts w:cs="David"/>
                <w:szCs w:val="24"/>
                <w:rtl/>
              </w:rPr>
              <w:t xml:space="preserve">חולים עם אי ספיקת לב דו </w:t>
            </w:r>
            <w:proofErr w:type="spellStart"/>
            <w:r w:rsidRPr="007A607D">
              <w:rPr>
                <w:rFonts w:cs="David"/>
                <w:szCs w:val="24"/>
                <w:rtl/>
              </w:rPr>
              <w:t>חדרית</w:t>
            </w:r>
            <w:proofErr w:type="spellEnd"/>
            <w:r w:rsidRPr="007A607D">
              <w:rPr>
                <w:rFonts w:cs="David"/>
                <w:szCs w:val="24"/>
                <w:rtl/>
              </w:rPr>
              <w:t xml:space="preserve"> המועמדים להשתלה, כגישור לפני השתלה</w:t>
            </w:r>
          </w:p>
        </w:tc>
      </w:tr>
      <w:tr w:rsidR="007A607D" w:rsidRPr="007A607D" w:rsidTr="007A607D"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</w:rPr>
              <w:t>Easy drink</w:t>
            </w:r>
          </w:p>
        </w:tc>
        <w:tc>
          <w:tcPr>
            <w:tcW w:w="5797" w:type="dxa"/>
            <w:gridSpan w:val="2"/>
            <w:vMerge w:val="restart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 xml:space="preserve">מזון ייעודי באמצעות צנתר </w:t>
            </w:r>
            <w:proofErr w:type="spellStart"/>
            <w:r w:rsidRPr="007A607D">
              <w:rPr>
                <w:rFonts w:cs="David"/>
                <w:szCs w:val="24"/>
                <w:rtl/>
              </w:rPr>
              <w:t>אנטרלי</w:t>
            </w:r>
            <w:proofErr w:type="spellEnd"/>
            <w:r w:rsidRPr="007A607D">
              <w:rPr>
                <w:rFonts w:cs="David"/>
                <w:szCs w:val="24"/>
                <w:rtl/>
              </w:rPr>
              <w:t xml:space="preserve">, למבוגרים </w:t>
            </w:r>
            <w:r w:rsidRPr="007A607D">
              <w:rPr>
                <w:rFonts w:cs="David" w:hint="cs"/>
                <w:szCs w:val="24"/>
                <w:rtl/>
              </w:rPr>
              <w:t xml:space="preserve">(בני 19 ומעלה) </w:t>
            </w:r>
            <w:r w:rsidRPr="007A607D">
              <w:rPr>
                <w:rFonts w:cs="David"/>
                <w:szCs w:val="24"/>
                <w:rtl/>
              </w:rPr>
              <w:t>למצבי הזנה לאורך זמן בחולים בהם הפורמולות ניתנות כהזנה בלעדית</w:t>
            </w:r>
          </w:p>
        </w:tc>
      </w:tr>
      <w:tr w:rsidR="007A607D" w:rsidRPr="007A607D" w:rsidTr="007A607D"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cs="David"/>
                <w:szCs w:val="24"/>
              </w:rPr>
            </w:pPr>
            <w:r w:rsidRPr="007A607D">
              <w:rPr>
                <w:rFonts w:cs="David"/>
                <w:szCs w:val="24"/>
              </w:rPr>
              <w:t>Easy fiber</w:t>
            </w:r>
          </w:p>
        </w:tc>
        <w:tc>
          <w:tcPr>
            <w:tcW w:w="5797" w:type="dxa"/>
            <w:gridSpan w:val="2"/>
            <w:vMerge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</w:p>
        </w:tc>
      </w:tr>
      <w:tr w:rsidR="007A607D" w:rsidRPr="007A607D" w:rsidTr="007A607D"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cs="David"/>
                <w:szCs w:val="24"/>
              </w:rPr>
            </w:pPr>
            <w:r w:rsidRPr="007A607D">
              <w:rPr>
                <w:rFonts w:cs="David"/>
                <w:szCs w:val="24"/>
              </w:rPr>
              <w:t>Ensure plus</w:t>
            </w:r>
          </w:p>
        </w:tc>
        <w:tc>
          <w:tcPr>
            <w:tcW w:w="5797" w:type="dxa"/>
            <w:gridSpan w:val="2"/>
            <w:vMerge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</w:rPr>
            </w:pPr>
          </w:p>
        </w:tc>
      </w:tr>
      <w:tr w:rsidR="007A607D" w:rsidRPr="007A607D" w:rsidTr="007A607D"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proofErr w:type="spellStart"/>
            <w:r w:rsidRPr="007A607D">
              <w:rPr>
                <w:rFonts w:cs="David"/>
                <w:szCs w:val="24"/>
              </w:rPr>
              <w:t>Jevity</w:t>
            </w:r>
            <w:proofErr w:type="spellEnd"/>
          </w:p>
        </w:tc>
        <w:tc>
          <w:tcPr>
            <w:tcW w:w="5797" w:type="dxa"/>
            <w:gridSpan w:val="2"/>
            <w:vMerge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</w:p>
        </w:tc>
      </w:tr>
      <w:tr w:rsidR="007A607D" w:rsidRPr="007A607D" w:rsidTr="007A607D"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cs="David"/>
                <w:szCs w:val="24"/>
              </w:rPr>
            </w:pPr>
            <w:proofErr w:type="spellStart"/>
            <w:r w:rsidRPr="007A607D">
              <w:rPr>
                <w:rFonts w:cs="David"/>
                <w:szCs w:val="24"/>
              </w:rPr>
              <w:lastRenderedPageBreak/>
              <w:t>Nutren</w:t>
            </w:r>
            <w:proofErr w:type="spellEnd"/>
            <w:r w:rsidRPr="007A607D">
              <w:rPr>
                <w:rFonts w:cs="David"/>
                <w:szCs w:val="24"/>
              </w:rPr>
              <w:t xml:space="preserve"> 2</w:t>
            </w:r>
          </w:p>
        </w:tc>
        <w:tc>
          <w:tcPr>
            <w:tcW w:w="5797" w:type="dxa"/>
            <w:gridSpan w:val="2"/>
            <w:vMerge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</w:p>
        </w:tc>
      </w:tr>
      <w:tr w:rsidR="007A607D" w:rsidRPr="007A607D" w:rsidTr="007A607D"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cs="David"/>
                <w:szCs w:val="24"/>
              </w:rPr>
            </w:pPr>
            <w:proofErr w:type="spellStart"/>
            <w:r w:rsidRPr="007A607D">
              <w:rPr>
                <w:rFonts w:cs="David"/>
                <w:szCs w:val="24"/>
              </w:rPr>
              <w:t>Jevity</w:t>
            </w:r>
            <w:proofErr w:type="spellEnd"/>
            <w:r w:rsidRPr="007A607D">
              <w:rPr>
                <w:rFonts w:cs="David"/>
                <w:szCs w:val="24"/>
              </w:rPr>
              <w:t xml:space="preserve"> plus</w:t>
            </w:r>
          </w:p>
        </w:tc>
        <w:tc>
          <w:tcPr>
            <w:tcW w:w="5797" w:type="dxa"/>
            <w:gridSpan w:val="2"/>
            <w:vMerge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</w:p>
        </w:tc>
      </w:tr>
      <w:tr w:rsidR="007A607D" w:rsidRPr="007A607D" w:rsidTr="007A607D"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proofErr w:type="spellStart"/>
            <w:r w:rsidRPr="007A607D">
              <w:rPr>
                <w:rFonts w:cs="David"/>
                <w:szCs w:val="24"/>
              </w:rPr>
              <w:t>Osmolite</w:t>
            </w:r>
            <w:proofErr w:type="spellEnd"/>
            <w:r w:rsidRPr="007A607D">
              <w:rPr>
                <w:rFonts w:cs="David"/>
                <w:szCs w:val="24"/>
              </w:rPr>
              <w:t xml:space="preserve"> HN</w:t>
            </w:r>
          </w:p>
        </w:tc>
        <w:tc>
          <w:tcPr>
            <w:tcW w:w="5797" w:type="dxa"/>
            <w:gridSpan w:val="2"/>
            <w:vMerge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</w:p>
        </w:tc>
      </w:tr>
      <w:tr w:rsidR="007A607D" w:rsidRPr="007A607D" w:rsidTr="007A607D"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proofErr w:type="spellStart"/>
            <w:r w:rsidRPr="007A607D">
              <w:rPr>
                <w:rFonts w:cs="David"/>
                <w:szCs w:val="24"/>
              </w:rPr>
              <w:t>Peptamen</w:t>
            </w:r>
            <w:proofErr w:type="spellEnd"/>
            <w:r w:rsidRPr="007A607D">
              <w:rPr>
                <w:rFonts w:cs="David"/>
                <w:szCs w:val="24"/>
              </w:rPr>
              <w:t xml:space="preserve"> </w:t>
            </w:r>
            <w:proofErr w:type="spellStart"/>
            <w:r w:rsidRPr="007A607D">
              <w:rPr>
                <w:rFonts w:cs="David"/>
                <w:szCs w:val="24"/>
              </w:rPr>
              <w:t>prebio</w:t>
            </w:r>
            <w:proofErr w:type="spellEnd"/>
          </w:p>
        </w:tc>
        <w:tc>
          <w:tcPr>
            <w:tcW w:w="5797" w:type="dxa"/>
            <w:gridSpan w:val="2"/>
            <w:vMerge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</w:p>
        </w:tc>
      </w:tr>
      <w:tr w:rsidR="007A607D" w:rsidRPr="007A607D" w:rsidTr="007A607D"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</w:rPr>
              <w:t>Vital 1.5</w:t>
            </w:r>
          </w:p>
        </w:tc>
        <w:tc>
          <w:tcPr>
            <w:tcW w:w="5797" w:type="dxa"/>
            <w:gridSpan w:val="2"/>
            <w:vMerge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</w:p>
        </w:tc>
      </w:tr>
      <w:tr w:rsidR="007A607D" w:rsidRPr="007A607D" w:rsidTr="007A607D">
        <w:trPr>
          <w:cantSplit/>
          <w:tblHeader/>
        </w:trPr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cs="David"/>
                <w:szCs w:val="24"/>
              </w:rPr>
            </w:pPr>
            <w:r w:rsidRPr="007A607D">
              <w:rPr>
                <w:rFonts w:cs="David"/>
                <w:szCs w:val="24"/>
              </w:rPr>
              <w:t>Easy drink</w:t>
            </w:r>
          </w:p>
        </w:tc>
        <w:tc>
          <w:tcPr>
            <w:tcW w:w="5797" w:type="dxa"/>
            <w:gridSpan w:val="2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</w:rPr>
            </w:pPr>
            <w:r w:rsidRPr="007A607D">
              <w:rPr>
                <w:rFonts w:cs="David" w:hint="cs"/>
                <w:szCs w:val="24"/>
                <w:rtl/>
              </w:rPr>
              <w:t xml:space="preserve">מזון רפואי ייעודי לחולי </w:t>
            </w:r>
            <w:r w:rsidRPr="007A607D">
              <w:rPr>
                <w:rFonts w:cs="David"/>
                <w:szCs w:val="24"/>
              </w:rPr>
              <w:t>ALS</w:t>
            </w:r>
          </w:p>
        </w:tc>
      </w:tr>
      <w:tr w:rsidR="007A607D" w:rsidRPr="007A607D" w:rsidTr="007A607D">
        <w:trPr>
          <w:cantSplit/>
          <w:tblHeader/>
        </w:trPr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 xml:space="preserve">בדיקת </w:t>
            </w:r>
            <w:r w:rsidRPr="007A607D">
              <w:rPr>
                <w:rFonts w:cs="David"/>
                <w:szCs w:val="24"/>
              </w:rPr>
              <w:t>ROS1 rearrangement</w:t>
            </w:r>
            <w:r w:rsidRPr="007A607D">
              <w:rPr>
                <w:rFonts w:cs="David"/>
                <w:szCs w:val="24"/>
                <w:rtl/>
              </w:rPr>
              <w:t xml:space="preserve"> </w:t>
            </w:r>
          </w:p>
        </w:tc>
        <w:tc>
          <w:tcPr>
            <w:tcW w:w="5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 xml:space="preserve">עבור חולי סרטן ריאה מתקדם מסוג </w:t>
            </w:r>
            <w:r w:rsidRPr="007A607D">
              <w:rPr>
                <w:rFonts w:cs="David"/>
                <w:szCs w:val="24"/>
              </w:rPr>
              <w:t>NSCLC</w:t>
            </w:r>
            <w:r w:rsidRPr="007A607D">
              <w:rPr>
                <w:rFonts w:cs="David" w:hint="cs"/>
                <w:szCs w:val="24"/>
                <w:rtl/>
              </w:rPr>
              <w:t xml:space="preserve"> </w:t>
            </w:r>
          </w:p>
        </w:tc>
      </w:tr>
      <w:tr w:rsidR="007A607D" w:rsidRPr="007A607D" w:rsidTr="007A607D">
        <w:trPr>
          <w:cantSplit/>
          <w:tblHeader/>
        </w:trPr>
        <w:tc>
          <w:tcPr>
            <w:tcW w:w="3575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b/>
                <w:bCs/>
                <w:szCs w:val="24"/>
              </w:rPr>
            </w:pPr>
            <w:r w:rsidRPr="007A607D">
              <w:rPr>
                <w:rFonts w:cs="David"/>
                <w:b/>
                <w:bCs/>
                <w:szCs w:val="24"/>
                <w:rtl/>
              </w:rPr>
              <w:t>שם הטכנולוגיה</w:t>
            </w:r>
          </w:p>
        </w:tc>
        <w:tc>
          <w:tcPr>
            <w:tcW w:w="5797" w:type="dxa"/>
            <w:gridSpan w:val="2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b/>
                <w:bCs/>
                <w:szCs w:val="24"/>
              </w:rPr>
            </w:pPr>
            <w:r w:rsidRPr="007A607D">
              <w:rPr>
                <w:rFonts w:cs="David"/>
                <w:b/>
                <w:bCs/>
                <w:szCs w:val="24"/>
                <w:rtl/>
              </w:rPr>
              <w:t>התוויה</w:t>
            </w:r>
          </w:p>
        </w:tc>
      </w:tr>
      <w:tr w:rsidR="007A607D" w:rsidRPr="007A607D" w:rsidTr="007A607D">
        <w:trPr>
          <w:cantSplit/>
          <w:tblHeader/>
        </w:trPr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 w:hint="cs"/>
                <w:szCs w:val="24"/>
                <w:rtl/>
              </w:rPr>
              <w:t xml:space="preserve">בדיקת </w:t>
            </w:r>
            <w:r w:rsidRPr="007A607D">
              <w:rPr>
                <w:rFonts w:cs="David"/>
                <w:szCs w:val="24"/>
              </w:rPr>
              <w:t>PDL1</w:t>
            </w:r>
          </w:p>
        </w:tc>
        <w:tc>
          <w:tcPr>
            <w:tcW w:w="5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 xml:space="preserve">עבור חולי סרטן ריאה מתקדם מסוג </w:t>
            </w:r>
            <w:r w:rsidRPr="007A607D">
              <w:rPr>
                <w:rFonts w:cs="David"/>
                <w:szCs w:val="24"/>
              </w:rPr>
              <w:t>NSCLC</w:t>
            </w:r>
          </w:p>
        </w:tc>
      </w:tr>
      <w:tr w:rsidR="007A607D" w:rsidRPr="007A607D" w:rsidTr="007A607D">
        <w:trPr>
          <w:cantSplit/>
          <w:tblHeader/>
        </w:trPr>
        <w:tc>
          <w:tcPr>
            <w:tcW w:w="3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 w:hint="cs"/>
                <w:szCs w:val="24"/>
                <w:rtl/>
              </w:rPr>
              <w:t xml:space="preserve">בדיקה לאבחון מוטציה סומטית מסוג </w:t>
            </w:r>
            <w:r w:rsidRPr="007A607D">
              <w:rPr>
                <w:rFonts w:cs="David"/>
                <w:szCs w:val="24"/>
              </w:rPr>
              <w:t>BRCA</w:t>
            </w:r>
          </w:p>
        </w:tc>
        <w:tc>
          <w:tcPr>
            <w:tcW w:w="5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</w:rPr>
            </w:pPr>
            <w:r w:rsidRPr="007A607D">
              <w:rPr>
                <w:rFonts w:cs="David"/>
                <w:szCs w:val="24"/>
                <w:rtl/>
              </w:rPr>
              <w:t xml:space="preserve">עבור </w:t>
            </w:r>
            <w:r w:rsidRPr="007A607D">
              <w:rPr>
                <w:rFonts w:cs="David" w:hint="cs"/>
                <w:szCs w:val="24"/>
                <w:rtl/>
              </w:rPr>
              <w:t xml:space="preserve">חולות סרטן שחלה חוזרת רגישה </w:t>
            </w:r>
            <w:proofErr w:type="spellStart"/>
            <w:r w:rsidRPr="007A607D">
              <w:rPr>
                <w:rFonts w:cs="David" w:hint="cs"/>
                <w:szCs w:val="24"/>
                <w:rtl/>
              </w:rPr>
              <w:t>לפלטינום</w:t>
            </w:r>
            <w:proofErr w:type="spellEnd"/>
            <w:r w:rsidRPr="007A607D">
              <w:rPr>
                <w:rFonts w:cs="David" w:hint="cs"/>
                <w:szCs w:val="24"/>
                <w:rtl/>
              </w:rPr>
              <w:t xml:space="preserve"> שלא נמצאו נשאיות למוטציה מולדת ב-</w:t>
            </w:r>
            <w:r w:rsidRPr="007A607D">
              <w:rPr>
                <w:rFonts w:cs="David"/>
                <w:szCs w:val="24"/>
              </w:rPr>
              <w:t>BRCA</w:t>
            </w:r>
            <w:r w:rsidRPr="007A607D">
              <w:rPr>
                <w:rFonts w:cs="David" w:hint="cs"/>
                <w:szCs w:val="24"/>
                <w:rtl/>
              </w:rPr>
              <w:t xml:space="preserve"> ומועמדות לטיפול אחזקה ב-</w:t>
            </w:r>
            <w:proofErr w:type="spellStart"/>
            <w:r w:rsidRPr="007A607D">
              <w:rPr>
                <w:rFonts w:cs="David"/>
                <w:szCs w:val="24"/>
              </w:rPr>
              <w:t>Olaparib</w:t>
            </w:r>
            <w:proofErr w:type="spellEnd"/>
          </w:p>
        </w:tc>
      </w:tr>
      <w:tr w:rsidR="007A607D" w:rsidRPr="007A607D" w:rsidTr="007A607D">
        <w:trPr>
          <w:cantSplit/>
          <w:tblHeader/>
        </w:trPr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 xml:space="preserve">גירוי מוחי עמוק לטיפול במבוגרים הסובלים מאפילפסיה עמידה </w:t>
            </w:r>
          </w:p>
        </w:tc>
        <w:tc>
          <w:tcPr>
            <w:tcW w:w="5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>עבור חולים שמיצו טיפול תרופתי ו-</w:t>
            </w:r>
            <w:r w:rsidRPr="007A607D">
              <w:rPr>
                <w:rFonts w:cs="David"/>
                <w:szCs w:val="24"/>
              </w:rPr>
              <w:t>VNS</w:t>
            </w:r>
            <w:r w:rsidRPr="007A607D">
              <w:rPr>
                <w:rFonts w:cs="David"/>
                <w:szCs w:val="24"/>
                <w:rtl/>
              </w:rPr>
              <w:t>.</w:t>
            </w:r>
          </w:p>
        </w:tc>
      </w:tr>
      <w:tr w:rsidR="007A607D" w:rsidRPr="007A607D" w:rsidTr="007A607D">
        <w:trPr>
          <w:cantSplit/>
          <w:tblHeader/>
        </w:trPr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 xml:space="preserve">מכשירי אינהלציה מסוג </w:t>
            </w:r>
            <w:r w:rsidRPr="007A607D">
              <w:rPr>
                <w:rFonts w:cs="David"/>
                <w:szCs w:val="24"/>
              </w:rPr>
              <w:t>VMT</w:t>
            </w:r>
            <w:r w:rsidRPr="007A607D">
              <w:rPr>
                <w:rFonts w:cs="David"/>
                <w:szCs w:val="24"/>
                <w:rtl/>
              </w:rPr>
              <w:t xml:space="preserve"> </w:t>
            </w:r>
          </w:p>
        </w:tc>
        <w:tc>
          <w:tcPr>
            <w:tcW w:w="5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>הרחבת מסגרת ההכללה בסל עבור כלל הילדים החולים בסיסטיק פיברוזיס (</w:t>
            </w:r>
            <w:r w:rsidRPr="007A607D">
              <w:rPr>
                <w:rFonts w:cs="David"/>
                <w:szCs w:val="24"/>
              </w:rPr>
              <w:t>CF</w:t>
            </w:r>
            <w:r w:rsidRPr="007A607D">
              <w:rPr>
                <w:rFonts w:cs="David"/>
                <w:szCs w:val="24"/>
                <w:rtl/>
              </w:rPr>
              <w:t>) עד גיל 18</w:t>
            </w:r>
          </w:p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 w:hint="cs"/>
                <w:szCs w:val="24"/>
                <w:rtl/>
              </w:rPr>
              <w:t>זכאות אחת לשנתיים</w:t>
            </w:r>
          </w:p>
        </w:tc>
      </w:tr>
      <w:tr w:rsidR="007A607D" w:rsidRPr="007A607D" w:rsidTr="007A607D">
        <w:tc>
          <w:tcPr>
            <w:tcW w:w="3601" w:type="dxa"/>
            <w:gridSpan w:val="2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>סדים לתיקון לקות אורתופדית מולדת</w:t>
            </w:r>
          </w:p>
        </w:tc>
        <w:tc>
          <w:tcPr>
            <w:tcW w:w="5771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>סד לכף רגל קלובה (</w:t>
            </w:r>
            <w:r w:rsidRPr="007A607D">
              <w:rPr>
                <w:rFonts w:cs="David"/>
                <w:szCs w:val="24"/>
              </w:rPr>
              <w:t>club foot</w:t>
            </w:r>
            <w:r w:rsidRPr="007A607D">
              <w:rPr>
                <w:rFonts w:cs="David"/>
                <w:szCs w:val="24"/>
                <w:rtl/>
              </w:rPr>
              <w:t>)</w:t>
            </w:r>
          </w:p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</w:p>
        </w:tc>
      </w:tr>
      <w:tr w:rsidR="007A607D" w:rsidRPr="007A607D" w:rsidTr="007A607D">
        <w:trPr>
          <w:trHeight w:val="733"/>
        </w:trPr>
        <w:tc>
          <w:tcPr>
            <w:tcW w:w="3601" w:type="dxa"/>
            <w:gridSpan w:val="2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>סדים לתיקון לקות אורתופדית מולדת</w:t>
            </w:r>
          </w:p>
        </w:tc>
        <w:tc>
          <w:tcPr>
            <w:tcW w:w="5771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 xml:space="preserve">סד  לפריקה התפתחותית במפרקי הירכיים </w:t>
            </w:r>
            <w:r w:rsidRPr="007A607D">
              <w:rPr>
                <w:rFonts w:cs="David"/>
                <w:szCs w:val="24"/>
              </w:rPr>
              <w:t>developmental dysplasia of  hip (DDH)</w:t>
            </w:r>
          </w:p>
        </w:tc>
      </w:tr>
      <w:tr w:rsidR="007A607D" w:rsidRPr="007A607D" w:rsidTr="007A607D">
        <w:trPr>
          <w:cantSplit/>
          <w:tblHeader/>
        </w:trPr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 w:hint="cs"/>
                <w:szCs w:val="24"/>
                <w:rtl/>
              </w:rPr>
              <w:t>טיפולי שיניים לילדים שמלאו להם 14 אך לא מלאו להם 15</w:t>
            </w:r>
          </w:p>
        </w:tc>
        <w:tc>
          <w:tcPr>
            <w:tcW w:w="5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 w:hint="cs"/>
                <w:szCs w:val="24"/>
                <w:rtl/>
              </w:rPr>
              <w:t>בהתאם לסל טיפולי השיניים שבסעיף 30 לתוספת השנייה (בתוספת טיפול הסרת אבנית נוסף בשנה לשנתון זה)</w:t>
            </w:r>
          </w:p>
        </w:tc>
      </w:tr>
    </w:tbl>
    <w:p w:rsidR="007A607D" w:rsidRPr="007A607D" w:rsidRDefault="007A607D" w:rsidP="007A607D">
      <w:pPr>
        <w:autoSpaceDE w:val="0"/>
        <w:autoSpaceDN w:val="0"/>
        <w:adjustRightInd w:val="0"/>
        <w:spacing w:line="360" w:lineRule="auto"/>
        <w:rPr>
          <w:rFonts w:cs="David"/>
          <w:b/>
          <w:bCs/>
          <w:szCs w:val="24"/>
          <w:rtl/>
        </w:rPr>
      </w:pPr>
    </w:p>
    <w:p w:rsidR="007A607D" w:rsidRPr="007A607D" w:rsidRDefault="007A607D" w:rsidP="007A607D">
      <w:pPr>
        <w:autoSpaceDE w:val="0"/>
        <w:autoSpaceDN w:val="0"/>
        <w:adjustRightInd w:val="0"/>
        <w:spacing w:line="360" w:lineRule="auto"/>
        <w:rPr>
          <w:rFonts w:cs="David"/>
          <w:b/>
          <w:bCs/>
          <w:szCs w:val="24"/>
          <w:rtl/>
        </w:rPr>
      </w:pPr>
    </w:p>
    <w:p w:rsidR="007A607D" w:rsidRPr="007A607D" w:rsidRDefault="007A607D" w:rsidP="007A607D">
      <w:pPr>
        <w:autoSpaceDE w:val="0"/>
        <w:autoSpaceDN w:val="0"/>
        <w:adjustRightInd w:val="0"/>
        <w:spacing w:line="360" w:lineRule="auto"/>
        <w:rPr>
          <w:rFonts w:cs="David"/>
          <w:b/>
          <w:bCs/>
          <w:szCs w:val="24"/>
          <w:rtl/>
        </w:rPr>
      </w:pPr>
      <w:r w:rsidRPr="007A607D">
        <w:rPr>
          <w:rFonts w:cs="David"/>
          <w:b/>
          <w:bCs/>
          <w:szCs w:val="24"/>
          <w:rtl/>
        </w:rPr>
        <w:t>ב. תרופות באחריות קופות החולים</w:t>
      </w:r>
    </w:p>
    <w:p w:rsidR="007A607D" w:rsidRPr="007A607D" w:rsidRDefault="007A607D" w:rsidP="007A607D">
      <w:pPr>
        <w:autoSpaceDE w:val="0"/>
        <w:autoSpaceDN w:val="0"/>
        <w:adjustRightInd w:val="0"/>
        <w:spacing w:line="360" w:lineRule="auto"/>
        <w:rPr>
          <w:rFonts w:cs="David"/>
          <w:b/>
          <w:bCs/>
          <w:szCs w:val="24"/>
          <w:rtl/>
        </w:rPr>
      </w:pPr>
    </w:p>
    <w:tbl>
      <w:tblPr>
        <w:bidiVisual/>
        <w:tblW w:w="91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58"/>
        <w:gridCol w:w="1985"/>
        <w:gridCol w:w="5390"/>
      </w:tblGrid>
      <w:tr w:rsidR="007A607D" w:rsidRPr="007A607D" w:rsidTr="007A607D">
        <w:trPr>
          <w:cantSplit/>
          <w:tblHeader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jc w:val="center"/>
              <w:rPr>
                <w:rFonts w:cs="David"/>
                <w:b/>
                <w:bCs/>
                <w:szCs w:val="24"/>
                <w:rtl/>
              </w:rPr>
            </w:pPr>
            <w:r w:rsidRPr="007A607D">
              <w:rPr>
                <w:rFonts w:cs="David"/>
                <w:b/>
                <w:bCs/>
                <w:szCs w:val="24"/>
                <w:rtl/>
              </w:rPr>
              <w:t xml:space="preserve">שם </w:t>
            </w:r>
            <w:r w:rsidRPr="007A607D">
              <w:rPr>
                <w:rFonts w:cs="David" w:hint="cs"/>
                <w:b/>
                <w:bCs/>
                <w:szCs w:val="24"/>
                <w:rtl/>
              </w:rPr>
              <w:t>גנרי</w:t>
            </w:r>
          </w:p>
        </w:tc>
        <w:tc>
          <w:tcPr>
            <w:tcW w:w="1985" w:type="dxa"/>
          </w:tcPr>
          <w:p w:rsidR="007A607D" w:rsidRPr="007A607D" w:rsidRDefault="007A607D" w:rsidP="007A607D">
            <w:pPr>
              <w:jc w:val="center"/>
              <w:rPr>
                <w:rFonts w:cs="David"/>
                <w:b/>
                <w:bCs/>
                <w:szCs w:val="24"/>
                <w:rtl/>
              </w:rPr>
            </w:pPr>
            <w:r w:rsidRPr="007A607D">
              <w:rPr>
                <w:rFonts w:cs="David"/>
                <w:b/>
                <w:bCs/>
                <w:szCs w:val="24"/>
                <w:rtl/>
              </w:rPr>
              <w:t xml:space="preserve">שם </w:t>
            </w:r>
            <w:r w:rsidRPr="007A607D">
              <w:rPr>
                <w:rFonts w:cs="David" w:hint="cs"/>
                <w:b/>
                <w:bCs/>
                <w:szCs w:val="24"/>
                <w:rtl/>
              </w:rPr>
              <w:t>מסחרי</w:t>
            </w:r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jc w:val="center"/>
              <w:rPr>
                <w:rFonts w:cs="David"/>
                <w:b/>
                <w:bCs/>
                <w:szCs w:val="24"/>
              </w:rPr>
            </w:pPr>
            <w:r w:rsidRPr="007A607D">
              <w:rPr>
                <w:rFonts w:cs="David"/>
                <w:b/>
                <w:bCs/>
                <w:szCs w:val="24"/>
                <w:rtl/>
              </w:rPr>
              <w:t>התוויה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Adalimumab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Humira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tabs>
                <w:tab w:val="center" w:pos="4320"/>
                <w:tab w:val="right" w:pos="8640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textAlignment w:val="baseline"/>
              <w:rPr>
                <w:rFonts w:ascii="Times New Roman" w:eastAsia="Arial Unicode MS" w:hAnsi="Times New Roman" w:cs="David"/>
                <w:sz w:val="24"/>
                <w:szCs w:val="24"/>
                <w:lang w:eastAsia="he-IL"/>
              </w:rPr>
            </w:pPr>
            <w:r w:rsidRPr="007A607D">
              <w:rPr>
                <w:rFonts w:ascii="Times New Roman" w:eastAsia="Arial Unicode MS" w:hAnsi="Times New Roman" w:cs="David"/>
                <w:sz w:val="24"/>
                <w:szCs w:val="24"/>
                <w:rtl/>
                <w:lang w:eastAsia="he-IL"/>
              </w:rPr>
              <w:t xml:space="preserve">טיפול ביולוגי במחלת </w:t>
            </w:r>
            <w:proofErr w:type="spellStart"/>
            <w:r w:rsidRPr="007A607D">
              <w:rPr>
                <w:rFonts w:ascii="Times New Roman" w:eastAsia="Arial Unicode MS" w:hAnsi="Times New Roman" w:cs="David"/>
                <w:sz w:val="24"/>
                <w:szCs w:val="24"/>
                <w:rtl/>
                <w:lang w:eastAsia="he-IL"/>
              </w:rPr>
              <w:t>בכצ'ט</w:t>
            </w:r>
            <w:proofErr w:type="spellEnd"/>
            <w:r w:rsidRPr="007A607D">
              <w:rPr>
                <w:rFonts w:ascii="Times New Roman" w:eastAsia="Arial Unicode MS" w:hAnsi="Times New Roman" w:cs="David"/>
                <w:sz w:val="24"/>
                <w:szCs w:val="24"/>
                <w:rtl/>
                <w:lang w:eastAsia="he-IL"/>
              </w:rPr>
              <w:t xml:space="preserve"> של המעי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Adalimumab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Humira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tabs>
                <w:tab w:val="center" w:pos="4320"/>
                <w:tab w:val="right" w:pos="8640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textAlignment w:val="baseline"/>
              <w:rPr>
                <w:rFonts w:ascii="Times New Roman" w:eastAsia="Arial Unicode MS" w:hAnsi="Times New Roman" w:cs="David"/>
                <w:sz w:val="24"/>
                <w:szCs w:val="24"/>
                <w:rtl/>
                <w:lang w:eastAsia="he-IL"/>
              </w:rPr>
            </w:pPr>
            <w:r w:rsidRPr="007A607D">
              <w:rPr>
                <w:rFonts w:ascii="Times New Roman" w:eastAsia="Arial Unicode MS" w:hAnsi="Times New Roman" w:cs="David"/>
                <w:sz w:val="24"/>
                <w:szCs w:val="24"/>
                <w:rtl/>
                <w:lang w:eastAsia="he-IL"/>
              </w:rPr>
              <w:t>טיפול ב-</w:t>
            </w:r>
            <w:proofErr w:type="spellStart"/>
            <w:r w:rsidRPr="007A607D">
              <w:rPr>
                <w:rFonts w:ascii="Times New Roman" w:eastAsia="Arial Unicode MS" w:hAnsi="Times New Roman" w:cs="David"/>
                <w:sz w:val="24"/>
                <w:szCs w:val="24"/>
                <w:lang w:eastAsia="he-IL"/>
              </w:rPr>
              <w:t>Hidradenitis</w:t>
            </w:r>
            <w:proofErr w:type="spellEnd"/>
            <w:r w:rsidRPr="007A607D">
              <w:rPr>
                <w:rFonts w:ascii="Times New Roman" w:eastAsia="Arial Unicode MS" w:hAnsi="Times New Roman" w:cs="David"/>
                <w:sz w:val="24"/>
                <w:szCs w:val="24"/>
                <w:lang w:eastAsia="he-IL"/>
              </w:rPr>
              <w:t xml:space="preserve"> </w:t>
            </w:r>
            <w:proofErr w:type="spellStart"/>
            <w:r w:rsidRPr="007A607D">
              <w:rPr>
                <w:rFonts w:ascii="Times New Roman" w:eastAsia="Arial Unicode MS" w:hAnsi="Times New Roman" w:cs="David"/>
                <w:sz w:val="24"/>
                <w:szCs w:val="24"/>
                <w:lang w:eastAsia="he-IL"/>
              </w:rPr>
              <w:t>suppurativa</w:t>
            </w:r>
            <w:proofErr w:type="spellEnd"/>
            <w:r w:rsidRPr="007A607D">
              <w:rPr>
                <w:rFonts w:ascii="Times New Roman" w:eastAsia="Arial Unicode MS" w:hAnsi="Times New Roman" w:cs="David"/>
                <w:sz w:val="24"/>
                <w:szCs w:val="24"/>
                <w:rtl/>
                <w:lang w:eastAsia="he-IL"/>
              </w:rPr>
              <w:t xml:space="preserve"> בדרגת חומרה בינונית או גבוהה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Adalimumab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Humira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tabs>
                <w:tab w:val="center" w:pos="4320"/>
                <w:tab w:val="right" w:pos="8640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textAlignment w:val="baseline"/>
              <w:rPr>
                <w:rFonts w:ascii="Times New Roman" w:eastAsia="Arial Unicode MS" w:hAnsi="Times New Roman" w:cs="David"/>
                <w:sz w:val="24"/>
                <w:szCs w:val="24"/>
                <w:rtl/>
                <w:lang w:eastAsia="he-IL"/>
              </w:rPr>
            </w:pPr>
            <w:r w:rsidRPr="007A607D">
              <w:rPr>
                <w:rFonts w:ascii="Times New Roman" w:eastAsia="Arial Unicode MS" w:hAnsi="Times New Roman" w:cs="David"/>
                <w:sz w:val="24"/>
                <w:szCs w:val="24"/>
                <w:rtl/>
                <w:lang w:eastAsia="he-IL"/>
              </w:rPr>
              <w:t>קו טיפול מתקדם ביולוגי ב-</w:t>
            </w:r>
          </w:p>
          <w:p w:rsidR="007A607D" w:rsidRPr="007A607D" w:rsidRDefault="007A607D" w:rsidP="007A607D">
            <w:pPr>
              <w:tabs>
                <w:tab w:val="center" w:pos="4320"/>
                <w:tab w:val="right" w:pos="8640"/>
              </w:tabs>
              <w:overflowPunct w:val="0"/>
              <w:autoSpaceDE w:val="0"/>
              <w:autoSpaceDN w:val="0"/>
              <w:bidi w:val="0"/>
              <w:adjustRightInd w:val="0"/>
              <w:spacing w:after="0" w:line="360" w:lineRule="auto"/>
              <w:textAlignment w:val="baseline"/>
              <w:rPr>
                <w:rFonts w:ascii="Times New Roman" w:eastAsia="Arial Unicode MS" w:hAnsi="Times New Roman" w:cs="David"/>
                <w:sz w:val="24"/>
                <w:szCs w:val="24"/>
                <w:lang w:eastAsia="he-IL"/>
              </w:rPr>
            </w:pPr>
            <w:proofErr w:type="spellStart"/>
            <w:r w:rsidRPr="007A607D">
              <w:rPr>
                <w:rFonts w:ascii="Times New Roman" w:eastAsia="Arial Unicode MS" w:hAnsi="Times New Roman" w:cs="David"/>
                <w:sz w:val="24"/>
                <w:szCs w:val="24"/>
                <w:lang w:eastAsia="he-IL"/>
              </w:rPr>
              <w:t>non infectious</w:t>
            </w:r>
            <w:proofErr w:type="spellEnd"/>
            <w:r w:rsidRPr="007A607D">
              <w:rPr>
                <w:rFonts w:ascii="Times New Roman" w:eastAsia="Arial Unicode MS" w:hAnsi="Times New Roman" w:cs="David"/>
                <w:sz w:val="24"/>
                <w:szCs w:val="24"/>
                <w:lang w:eastAsia="he-IL"/>
              </w:rPr>
              <w:t xml:space="preserve"> intermediate posterior and pan uveitis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Afosfotase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alfa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Strensiq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אנזימטי חלופי בחולי </w:t>
            </w:r>
            <w:r w:rsidRPr="007A607D">
              <w:rPr>
                <w:rFonts w:eastAsia="Arial Unicode MS" w:cs="David"/>
                <w:szCs w:val="24"/>
              </w:rPr>
              <w:t xml:space="preserve">pediatric onset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hypophosphatasia</w:t>
            </w:r>
            <w:proofErr w:type="spellEnd"/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Alemtuzumab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Lemtrada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בטרשת נפוצה מסוג </w:t>
            </w:r>
            <w:r w:rsidRPr="007A607D">
              <w:rPr>
                <w:rFonts w:eastAsia="Arial Unicode MS" w:cs="David"/>
                <w:szCs w:val="24"/>
              </w:rPr>
              <w:t>Relapsing remitting multiple sclerosis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- הרחבת מסגרת ההכללה בסל :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א. כטיפול קו ראשון לחולים עם מחלה סוערת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ב. כטיפול קו שני לאחר כ</w:t>
            </w:r>
            <w:r w:rsidRPr="007A607D">
              <w:rPr>
                <w:rFonts w:eastAsia="Arial Unicode MS" w:cs="David" w:hint="cs"/>
                <w:szCs w:val="24"/>
                <w:rtl/>
              </w:rPr>
              <w:t>י</w:t>
            </w:r>
            <w:r w:rsidRPr="007A607D">
              <w:rPr>
                <w:rFonts w:eastAsia="Arial Unicode MS" w:cs="David"/>
                <w:szCs w:val="24"/>
                <w:rtl/>
              </w:rPr>
              <w:t>שלון בטיפול קודם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Ambrisentan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Volibris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ביתר לחץ דם ריאתי  - הרחבת מסגרת ההכללה בסל - טיפול משולב של </w:t>
            </w:r>
            <w:r w:rsidRPr="007A607D">
              <w:rPr>
                <w:rFonts w:eastAsia="Arial Unicode MS" w:cs="David"/>
                <w:szCs w:val="24"/>
              </w:rPr>
              <w:t>ERA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עם </w:t>
            </w:r>
            <w:r w:rsidRPr="007A607D">
              <w:rPr>
                <w:rFonts w:eastAsia="Arial Unicode MS" w:cs="David"/>
                <w:szCs w:val="24"/>
              </w:rPr>
              <w:t>PDE5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 בשלב ראשוני (</w:t>
            </w:r>
            <w:r w:rsidRPr="007A607D">
              <w:rPr>
                <w:rFonts w:eastAsia="Arial Unicode MS" w:cs="David"/>
                <w:szCs w:val="24"/>
              </w:rPr>
              <w:t>upfront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) עבור חולי יתר לחץ דם ריאתי עורקי, </w:t>
            </w:r>
            <w:r w:rsidRPr="007A607D">
              <w:rPr>
                <w:rFonts w:eastAsia="Arial Unicode MS" w:cs="David"/>
                <w:szCs w:val="24"/>
              </w:rPr>
              <w:t>Group 1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, נאיביים בדרגה תפקודית </w:t>
            </w:r>
            <w:r w:rsidRPr="007A607D">
              <w:rPr>
                <w:rFonts w:eastAsia="Arial Unicode MS" w:cs="David"/>
                <w:szCs w:val="24"/>
              </w:rPr>
              <w:t>III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Anakinra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Kineret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ב-</w:t>
            </w:r>
            <w:r w:rsidRPr="007A607D">
              <w:rPr>
                <w:rFonts w:eastAsia="Arial Unicode MS" w:cs="David"/>
                <w:szCs w:val="24"/>
              </w:rPr>
              <w:t>CAPS (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Cryopyrin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Associated periodic syndromes</w:t>
            </w:r>
            <w:r w:rsidRPr="007A607D">
              <w:rPr>
                <w:rFonts w:eastAsia="Arial Unicode MS" w:cs="David"/>
                <w:szCs w:val="24"/>
                <w:rtl/>
              </w:rPr>
              <w:t>) - הרחבת מסגרת ההכללה בסל - עבור בני שנתיים ומעלה שאינם מגיבים לטיפול בסטרואידים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Apremilast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Otezla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בפסוריאזיס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Atezolizumab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Tecentriq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בסרטן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urothelial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- קו טיפול מתקדם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Axitinib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Inlyta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קו שלישי בסרטן כליה מתקדם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lastRenderedPageBreak/>
              <w:t>Bevacizumab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Avastin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בסרטן צוואר רחם גרורתי עבור חולות בסיכון בינוני וגבוה לפי </w:t>
            </w:r>
            <w:r w:rsidRPr="007A607D">
              <w:rPr>
                <w:rFonts w:eastAsia="Arial Unicode MS" w:cs="David"/>
                <w:szCs w:val="24"/>
              </w:rPr>
              <w:t>Moore criteria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Blinatumomab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Blincyto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לוקמיה מסוג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Ph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>- ALL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חוזרת /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רפרקטורית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במבוגרים </w:t>
            </w:r>
            <w:r w:rsidRPr="007A607D">
              <w:rPr>
                <w:rFonts w:eastAsia="Arial Unicode MS" w:cs="David"/>
                <w:szCs w:val="24"/>
                <w:rtl/>
              </w:rPr>
              <w:t>- ביטול המגבלות המפורטות במסגרת ההכללה בסל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Bosentan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Tracleer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/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Bosentan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Teva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ביתר לחץ דם ריאתי  - הרחבת מסגרת ההכללה בסל - טיפול משולב של </w:t>
            </w:r>
            <w:r w:rsidRPr="007A607D">
              <w:rPr>
                <w:rFonts w:eastAsia="Arial Unicode MS" w:cs="David"/>
                <w:szCs w:val="24"/>
              </w:rPr>
              <w:t>ERA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עם </w:t>
            </w:r>
            <w:r w:rsidRPr="007A607D">
              <w:rPr>
                <w:rFonts w:eastAsia="Arial Unicode MS" w:cs="David"/>
                <w:szCs w:val="24"/>
              </w:rPr>
              <w:t>PDE5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 בשלב ראשוני (</w:t>
            </w:r>
            <w:r w:rsidRPr="007A607D">
              <w:rPr>
                <w:rFonts w:eastAsia="Arial Unicode MS" w:cs="David"/>
                <w:szCs w:val="24"/>
              </w:rPr>
              <w:t>upfront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) עבור חולי יתר לחץ דם ריאתי עורקי, </w:t>
            </w:r>
            <w:r w:rsidRPr="007A607D">
              <w:rPr>
                <w:rFonts w:eastAsia="Arial Unicode MS" w:cs="David"/>
                <w:szCs w:val="24"/>
              </w:rPr>
              <w:t>Group 1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, נאיביים בדרגה תפקודית </w:t>
            </w:r>
            <w:r w:rsidRPr="007A607D">
              <w:rPr>
                <w:rFonts w:eastAsia="Arial Unicode MS" w:cs="David"/>
                <w:szCs w:val="24"/>
              </w:rPr>
              <w:t>III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Bosutinib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Bosulif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בלוקמיה מסוג </w:t>
            </w:r>
            <w:r w:rsidRPr="007A607D">
              <w:rPr>
                <w:rFonts w:eastAsia="Arial Unicode MS" w:cs="David"/>
                <w:szCs w:val="24"/>
              </w:rPr>
              <w:t>CML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Brentuximab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vedotin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Adcetris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קונסולידציה לאחר השתלת מח עצם בחולי לימפומה מסוג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הודג'קינס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(</w:t>
            </w:r>
            <w:r w:rsidRPr="007A607D">
              <w:rPr>
                <w:rFonts w:eastAsia="Arial Unicode MS" w:cs="David"/>
                <w:szCs w:val="24"/>
              </w:rPr>
              <w:t>HL</w:t>
            </w:r>
            <w:r w:rsidRPr="007A607D">
              <w:rPr>
                <w:rFonts w:eastAsia="Arial Unicode MS" w:cs="David"/>
                <w:szCs w:val="24"/>
                <w:rtl/>
              </w:rPr>
              <w:t>) בסיכון גבוה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Brimonidine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tartarate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Brinzolamide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Simbrinza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בלחץ תוך עיני מוגבר 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</w:rPr>
              <w:t>C1 esterase inhibitor, human</w:t>
            </w:r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Berinert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ב-</w:t>
            </w:r>
            <w:r w:rsidRPr="007A607D">
              <w:rPr>
                <w:rFonts w:eastAsia="Arial Unicode MS" w:cs="David"/>
                <w:szCs w:val="24"/>
              </w:rPr>
              <w:t>HAE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- הרחבת מסגרת ההכללה בסל - טיפול מניעתי לפני פרוצדורות פולשניות המערבות את חלל הפה או בית הבליעה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Carfilzomib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Kyprolis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במיאלומה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נפוצה - קו טיפול מתקדם 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עבור חולים המוגדרים בסיכון גבוה.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(זכאות לטיפול בתרופה אחת מהתרופות –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Carfilzomib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,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Elotuzumab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,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Ixazomib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</w:t>
            </w:r>
            <w:r w:rsidRPr="007A607D">
              <w:rPr>
                <w:rFonts w:eastAsia="Arial Unicode MS" w:cs="David"/>
                <w:szCs w:val="24"/>
                <w:rtl/>
              </w:rPr>
              <w:t>)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Certolizumab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pegol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Cimzia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ביולוגי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בארתריטיס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ראומטואידית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br/>
              <w:t>(בהתאם למסגרת ההכללה בסל של תכשירים ביולוגיים הכלולים בסל להתוויה זו)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lastRenderedPageBreak/>
              <w:t>Cholic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acid</w:t>
            </w:r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Cholbam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בהפרעות מולדות בסינתזה של חומצת מרה - </w:t>
            </w:r>
            <w:r w:rsidRPr="007A607D">
              <w:rPr>
                <w:rFonts w:eastAsia="Arial Unicode MS" w:cs="David"/>
                <w:szCs w:val="24"/>
                <w:rtl/>
              </w:rPr>
              <w:br/>
            </w:r>
            <w:r w:rsidRPr="007A607D">
              <w:rPr>
                <w:rFonts w:eastAsia="Arial Unicode MS" w:cs="David"/>
                <w:szCs w:val="24"/>
              </w:rPr>
              <w:t xml:space="preserve">Sterol 27-hydroxylase (presenting as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cerebrotendinous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xanthomatosis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>, CTX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) </w:t>
            </w:r>
            <w:r w:rsidRPr="007A607D">
              <w:rPr>
                <w:rFonts w:eastAsia="Arial Unicode MS" w:cs="David"/>
                <w:szCs w:val="24"/>
              </w:rPr>
              <w:t>deficiency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כקו טיפול שני לאחר מיצוי טיפול ב-</w:t>
            </w:r>
            <w:r w:rsidRPr="007A607D">
              <w:rPr>
                <w:rFonts w:eastAsia="Arial Unicode MS" w:cs="David"/>
                <w:szCs w:val="24"/>
              </w:rPr>
              <w:t>CDCA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Cobimetinib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Cotellic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במלנומה מתקדמת לא נתיחה או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גרורתית</w:t>
            </w:r>
            <w:proofErr w:type="spellEnd"/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Crizotinib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Xalkori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בסרטן ריאה מסוג </w:t>
            </w:r>
            <w:r w:rsidRPr="007A607D">
              <w:rPr>
                <w:rFonts w:eastAsia="Arial Unicode MS" w:cs="David"/>
                <w:szCs w:val="24"/>
              </w:rPr>
              <w:t>ROS1 positive NSCLC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Dapagliflozin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Forxiga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</w:t>
            </w:r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בסוכרת - 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 xml:space="preserve">עבור חולי סוכרת סוג 2 שהם עם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eGFR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מעל 45, ו-</w:t>
            </w:r>
            <w:r w:rsidRPr="007A607D">
              <w:rPr>
                <w:rFonts w:eastAsia="Arial Unicode MS" w:cs="David"/>
                <w:szCs w:val="24"/>
              </w:rPr>
              <w:t>HbA1c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בערך 7.5% ומעלה, והסובלים מאחד מהבאים (בעבר או בהווה): 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*אוטם בשריר הלב;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*</w:t>
            </w:r>
            <w:r w:rsidRPr="007A607D">
              <w:rPr>
                <w:rFonts w:eastAsia="Arial Unicode MS" w:cs="David"/>
                <w:szCs w:val="24"/>
              </w:rPr>
              <w:t>CABG</w:t>
            </w:r>
            <w:r w:rsidRPr="007A607D">
              <w:rPr>
                <w:rFonts w:eastAsia="Arial Unicode MS" w:cs="David"/>
                <w:szCs w:val="24"/>
                <w:rtl/>
              </w:rPr>
              <w:t>;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*מחלת לב איסכמית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Daratumumab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Darzalex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במיאלומה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נפוצה עם מחלה חוזרת לאחר מיצוי טיפול בתכשירים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אימונומודולטוריים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ומעכבי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פרוטאזום</w:t>
            </w:r>
            <w:proofErr w:type="spellEnd"/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Dasabuvir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Exviera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 w:hint="cs"/>
                <w:szCs w:val="24"/>
                <w:rtl/>
              </w:rPr>
              <w:t xml:space="preserve">טיפול בהפטיטיס </w:t>
            </w:r>
            <w:r w:rsidRPr="007A607D">
              <w:rPr>
                <w:rFonts w:eastAsia="Arial Unicode MS" w:cs="David"/>
                <w:szCs w:val="24"/>
              </w:rPr>
              <w:t>C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 כרונית - 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הרחבת מסגרת ההכללה בסל עבור חולים עם גנוטיפ 1 דרגת פיברוזיס </w:t>
            </w:r>
            <w:r w:rsidRPr="007A607D">
              <w:rPr>
                <w:rFonts w:eastAsia="Arial Unicode MS" w:cs="David"/>
                <w:szCs w:val="24"/>
              </w:rPr>
              <w:t>F2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Dronedarone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Multaq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בהפרעות קצב מסוג רפרוף או פרפור עליות - הרחבת מסגרת הכללה בסל - קו טיפול שני עבור חולים עם </w:t>
            </w:r>
            <w:r w:rsidRPr="007A607D">
              <w:rPr>
                <w:rFonts w:eastAsia="Arial Unicode MS" w:cs="David"/>
                <w:szCs w:val="24"/>
              </w:rPr>
              <w:t>normal heart (no or minimal heart disease)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שפיתחו אי סבילות בשימוש עם תרופות מקבוצת קלאס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Ic</w:t>
            </w:r>
            <w:proofErr w:type="spellEnd"/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Eliglustat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Cerdelga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במחלת גושה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Elotozumab</w:t>
            </w:r>
            <w:proofErr w:type="spellEnd"/>
          </w:p>
        </w:tc>
        <w:tc>
          <w:tcPr>
            <w:tcW w:w="1985" w:type="dxa"/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Empliciti</w:t>
            </w:r>
            <w:proofErr w:type="spellEnd"/>
          </w:p>
        </w:tc>
        <w:tc>
          <w:tcPr>
            <w:tcW w:w="5390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במיאלומה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נפוצה - קו טיפול מתקדם 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עבור חולים המוגדרים בסיכון גבוה.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(זכאות לטיפול בתרופה אחת מהתרופות –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Carfilzomib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,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Elotuzumab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,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Ixazomib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</w:t>
            </w:r>
            <w:r w:rsidRPr="007A607D">
              <w:rPr>
                <w:rFonts w:eastAsia="Arial Unicode MS" w:cs="David"/>
                <w:szCs w:val="24"/>
                <w:rtl/>
              </w:rPr>
              <w:t>)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lastRenderedPageBreak/>
              <w:t>Elvitegravir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Cobicistat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Emtricitabine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Tenofovir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alafenamide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Gendevra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בנשאי </w:t>
            </w:r>
            <w:r w:rsidRPr="007A607D">
              <w:rPr>
                <w:rFonts w:eastAsia="Arial Unicode MS" w:cs="David"/>
                <w:szCs w:val="24"/>
              </w:rPr>
              <w:t>HIV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Empagliflozin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Jardiance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בסוכרת - 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 xml:space="preserve">עבור חולי סוכרת סוג 2 שהם עם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eGFR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מעל 45, ו-</w:t>
            </w:r>
            <w:r w:rsidRPr="007A607D">
              <w:rPr>
                <w:rFonts w:eastAsia="Arial Unicode MS" w:cs="David"/>
                <w:szCs w:val="24"/>
              </w:rPr>
              <w:t>HbA1c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בערך 7.5% ומעלה, והסובלים מאחד מהבאים (בעבר או בהווה): 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*אוטם בשריר הלב;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*</w:t>
            </w:r>
            <w:r w:rsidRPr="007A607D">
              <w:rPr>
                <w:rFonts w:eastAsia="Arial Unicode MS" w:cs="David"/>
                <w:szCs w:val="24"/>
              </w:rPr>
              <w:t>CABG</w:t>
            </w:r>
            <w:r w:rsidRPr="007A607D">
              <w:rPr>
                <w:rFonts w:eastAsia="Arial Unicode MS" w:cs="David"/>
                <w:szCs w:val="24"/>
                <w:rtl/>
              </w:rPr>
              <w:t>;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*מחלת לב איסכמית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Eribulin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Halaven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בליפוסרקומה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לא נתיחה בחולים שמחלתם התקדמה לאחר טיפול קודם 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Everolimus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Afinitor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קו שלישי בסרטן כליה מתקדם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Everolimus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Afinitor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בגידולים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נוירואנדוקריניים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</w:t>
            </w:r>
            <w:r w:rsidRPr="007A607D">
              <w:rPr>
                <w:rFonts w:eastAsia="Arial Unicode MS" w:cs="David" w:hint="cs"/>
                <w:szCs w:val="24"/>
                <w:rtl/>
              </w:rPr>
              <w:t>(</w:t>
            </w:r>
            <w:r w:rsidRPr="007A607D">
              <w:rPr>
                <w:rFonts w:eastAsia="Arial Unicode MS" w:cs="David"/>
                <w:szCs w:val="24"/>
              </w:rPr>
              <w:t>NET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) </w:t>
            </w:r>
            <w:r w:rsidRPr="007A607D">
              <w:rPr>
                <w:rFonts w:eastAsia="Arial Unicode MS" w:cs="David"/>
                <w:szCs w:val="24"/>
                <w:rtl/>
              </w:rPr>
              <w:t>ממקור ריאה או מערכת עיכול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Grazoprevir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Elbasvir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Zepatier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  <w:rtl/>
              </w:rPr>
            </w:pPr>
            <w:r w:rsidRPr="007A607D">
              <w:rPr>
                <w:rFonts w:eastAsia="Arial Unicode MS" w:cs="David" w:hint="cs"/>
                <w:szCs w:val="24"/>
                <w:rtl/>
              </w:rPr>
              <w:t xml:space="preserve">טיפול בהפטיטיס </w:t>
            </w:r>
            <w:r w:rsidRPr="007A607D">
              <w:rPr>
                <w:rFonts w:eastAsia="Arial Unicode MS" w:cs="David"/>
                <w:szCs w:val="24"/>
              </w:rPr>
              <w:t>C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 כרונית - 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הרחבת מסגרת ההכללה בסל עבור חולים עם גנוטיפ 1 דרגת פיברוזיס </w:t>
            </w:r>
            <w:r w:rsidRPr="007A607D">
              <w:rPr>
                <w:rFonts w:eastAsia="Arial Unicode MS" w:cs="David"/>
                <w:szCs w:val="24"/>
              </w:rPr>
              <w:t>F2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Grazoprevir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Elbasvir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Zepatier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 w:hint="cs"/>
                <w:szCs w:val="24"/>
                <w:rtl/>
              </w:rPr>
              <w:t xml:space="preserve">טיפול בהפטיטיס </w:t>
            </w:r>
            <w:r w:rsidRPr="007A607D">
              <w:rPr>
                <w:rFonts w:eastAsia="Arial Unicode MS" w:cs="David"/>
                <w:szCs w:val="24"/>
              </w:rPr>
              <w:t>C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 כרונית - 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הרחבת מסגרת ההכללה בסל עבור חולים עם גנוטיפ 4 דרגת פיברוזיס </w:t>
            </w:r>
            <w:r w:rsidRPr="007A607D">
              <w:rPr>
                <w:rFonts w:eastAsia="Arial Unicode MS" w:cs="David"/>
                <w:szCs w:val="24"/>
              </w:rPr>
              <w:t>F2, F3, F4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Ibrutinib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Imbruvica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  <w:rtl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ב-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Waldenstrom's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macroglobulinemia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כקו טיפול שלישי והלאה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Ingenol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mebutate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Picato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gel</w:t>
            </w:r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ב-</w:t>
            </w:r>
            <w:r w:rsidRPr="007A607D">
              <w:rPr>
                <w:rFonts w:eastAsia="Arial Unicode MS" w:cs="David"/>
                <w:szCs w:val="24"/>
              </w:rPr>
              <w:t>Actinic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</w:t>
            </w:r>
            <w:r w:rsidRPr="007A607D">
              <w:rPr>
                <w:rFonts w:eastAsia="Arial Unicode MS" w:cs="David"/>
                <w:szCs w:val="24"/>
              </w:rPr>
              <w:t>keratosis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- עבור אוכלוסיות המוגדרות כבעלות סיכון גבוה (</w:t>
            </w:r>
            <w:r w:rsidRPr="007A607D">
              <w:rPr>
                <w:rFonts w:eastAsia="Arial Unicode MS" w:cs="David"/>
                <w:szCs w:val="24"/>
              </w:rPr>
              <w:t>high risk</w:t>
            </w:r>
            <w:r w:rsidRPr="007A607D">
              <w:rPr>
                <w:rFonts w:eastAsia="Arial Unicode MS" w:cs="David"/>
                <w:szCs w:val="24"/>
                <w:rtl/>
              </w:rPr>
              <w:t>)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Ivabradine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Coralan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באי ספיקה לבבית כרונית - 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עבור קבוצת חולים מוגדרת בהתוויות מסוימות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lastRenderedPageBreak/>
              <w:t>Ixazomib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Ninlaro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במיאלומה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נפוצה - קו טיפול מתקדם 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עבור חולים המוגדרים בסיכון גבוה.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(זכאות לטיפול בתרופה אחת מהתרופות –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Carfilzomib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,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Elotuzumab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,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Ixazomib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</w:t>
            </w:r>
            <w:r w:rsidRPr="007A607D">
              <w:rPr>
                <w:rFonts w:eastAsia="Arial Unicode MS" w:cs="David"/>
                <w:szCs w:val="24"/>
                <w:rtl/>
              </w:rPr>
              <w:t>)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Ixekizumab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Taltz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בפסוריאזיס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(בהתאם למסגרת ההכללה בסל של תכשירים ביולוגיים הכלולים בסל להתוויה זו)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</w:rPr>
              <w:t xml:space="preserve">Levodopa +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Carbidopa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Duodopa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במחלת פרקינסון לאחר מיצוי טיפולים 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תרופתיים </w:t>
            </w:r>
            <w:r w:rsidRPr="007A607D">
              <w:rPr>
                <w:rFonts w:eastAsia="Arial Unicode MS" w:cs="David"/>
                <w:szCs w:val="24"/>
                <w:rtl/>
              </w:rPr>
              <w:t>אחרים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Macitentan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Opsumit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ביתר לחץ דם ריאתי  - הרחבת מסגרת ההכללה בסל - טיפול משולב של </w:t>
            </w:r>
            <w:r w:rsidRPr="007A607D">
              <w:rPr>
                <w:rFonts w:eastAsia="Arial Unicode MS" w:cs="David"/>
                <w:szCs w:val="24"/>
              </w:rPr>
              <w:t>ERA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עם </w:t>
            </w:r>
            <w:r w:rsidRPr="007A607D">
              <w:rPr>
                <w:rFonts w:eastAsia="Arial Unicode MS" w:cs="David"/>
                <w:szCs w:val="24"/>
              </w:rPr>
              <w:t>PDE5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 בשלב ראשוני (</w:t>
            </w:r>
            <w:r w:rsidRPr="007A607D">
              <w:rPr>
                <w:rFonts w:eastAsia="Arial Unicode MS" w:cs="David"/>
                <w:szCs w:val="24"/>
              </w:rPr>
              <w:t>upfront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) עבור חולי יתר לחץ דם ריאתי עורקי, </w:t>
            </w:r>
            <w:r w:rsidRPr="007A607D">
              <w:rPr>
                <w:rFonts w:eastAsia="Arial Unicode MS" w:cs="David"/>
                <w:szCs w:val="24"/>
              </w:rPr>
              <w:t>Group 1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, נאיביים בדרגה תפקודית </w:t>
            </w:r>
            <w:r w:rsidRPr="007A607D">
              <w:rPr>
                <w:rFonts w:eastAsia="Arial Unicode MS" w:cs="David"/>
                <w:szCs w:val="24"/>
              </w:rPr>
              <w:t>III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Miglustat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Zavesca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בהתבטאויות נוירולוגיות של מחלת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Niemann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>-Pick type C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Nivolumab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Opdivo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בלימפומה מסוג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הודג'קינס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(</w:t>
            </w:r>
            <w:r w:rsidRPr="007A607D">
              <w:rPr>
                <w:rFonts w:eastAsia="Arial Unicode MS" w:cs="David"/>
                <w:szCs w:val="24"/>
              </w:rPr>
              <w:t>HL</w:t>
            </w:r>
            <w:r w:rsidRPr="007A607D">
              <w:rPr>
                <w:rFonts w:eastAsia="Arial Unicode MS" w:cs="David"/>
                <w:szCs w:val="24"/>
                <w:rtl/>
              </w:rPr>
              <w:t>) - קו טיפול מתקדם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Nivolumab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Opdivo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בסרטן ריאה מסוג </w:t>
            </w:r>
            <w:r w:rsidRPr="007A607D">
              <w:rPr>
                <w:rFonts w:eastAsia="Arial Unicode MS" w:cs="David"/>
                <w:szCs w:val="24"/>
              </w:rPr>
              <w:t>non squamous NSCLC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כקו טיפול מתקדם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Nivolumab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Opdivo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במלנומה מתקדמת או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גרורתית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- מתן בשילוב עם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Ipilimumab</w:t>
            </w:r>
            <w:proofErr w:type="spellEnd"/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Olaparib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Lynparza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אחזקה בסרטן שחלה מסוג </w:t>
            </w:r>
            <w:r w:rsidRPr="007A607D">
              <w:rPr>
                <w:rFonts w:eastAsia="Arial Unicode MS" w:cs="David"/>
                <w:szCs w:val="24"/>
              </w:rPr>
              <w:t>platinum sensitive relapsed (PSR) (BRCA) mutated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</w:t>
            </w:r>
            <w:r w:rsidRPr="007A607D">
              <w:rPr>
                <w:rFonts w:eastAsia="Arial Unicode MS" w:cs="David"/>
                <w:szCs w:val="24"/>
              </w:rPr>
              <w:t>ovarian cancer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- 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עבור נשים עם מוטציות סומטיות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Olaratumumab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Lartruvo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בסרקומה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של רקמות רכות (</w:t>
            </w:r>
            <w:r w:rsidRPr="007A607D">
              <w:rPr>
                <w:rFonts w:eastAsia="Arial Unicode MS" w:cs="David"/>
                <w:szCs w:val="24"/>
              </w:rPr>
              <w:t xml:space="preserve">soft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tisuue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sarcoma</w:t>
            </w:r>
            <w:r w:rsidRPr="007A607D">
              <w:rPr>
                <w:rFonts w:eastAsia="Arial Unicode MS" w:cs="David"/>
                <w:szCs w:val="24"/>
                <w:rtl/>
              </w:rPr>
              <w:t>) בחולים שטרם קיבלו טיפול ב-</w:t>
            </w:r>
            <w:r w:rsidRPr="007A607D">
              <w:rPr>
                <w:rFonts w:eastAsia="Arial Unicode MS" w:cs="David"/>
                <w:szCs w:val="24"/>
              </w:rPr>
              <w:t>Doxorubicin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lastRenderedPageBreak/>
              <w:t>Ombitasvir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Paritaprevir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Ritonavir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Viekirax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הרחבת מסגרת ההכללה בסל עבור חולים עם גנוטיפ 1 דרגת פיברוזיס </w:t>
            </w:r>
            <w:r w:rsidRPr="007A607D">
              <w:rPr>
                <w:rFonts w:eastAsia="Arial Unicode MS" w:cs="David"/>
                <w:szCs w:val="24"/>
              </w:rPr>
              <w:t>F2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Ombitasvir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Paritaprevir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Ritonavir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Viekirax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הרחבת מסגרת ההכללה בסל עבור חולים עם גנוטיפ 4 דרגת פיברוזיס </w:t>
            </w:r>
            <w:r w:rsidRPr="007A607D">
              <w:rPr>
                <w:rFonts w:eastAsia="Arial Unicode MS" w:cs="David"/>
                <w:szCs w:val="24"/>
              </w:rPr>
              <w:t>F2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Palonosetron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Netupitant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Akynzeo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מניעת הקאות ובחילות על רקע טיפול כימותרפי (</w:t>
            </w:r>
            <w:r w:rsidRPr="007A607D">
              <w:rPr>
                <w:rFonts w:eastAsia="Arial Unicode MS" w:cs="David"/>
                <w:szCs w:val="24"/>
              </w:rPr>
              <w:t>CINV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) עם פוטנציאל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אמטוגני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בינוני - הרחבת מסגרת ההכללה בסל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</w:rPr>
              <w:t xml:space="preserve">Para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aminosalicylic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acid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Granupas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בשחפת עמידה (</w:t>
            </w:r>
            <w:r w:rsidRPr="007A607D">
              <w:rPr>
                <w:rFonts w:eastAsia="Arial Unicode MS" w:cs="David"/>
                <w:szCs w:val="24"/>
              </w:rPr>
              <w:t>Multi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</w:t>
            </w:r>
            <w:r w:rsidRPr="007A607D">
              <w:rPr>
                <w:rFonts w:eastAsia="Arial Unicode MS" w:cs="David"/>
                <w:szCs w:val="24"/>
              </w:rPr>
              <w:t>drug resistant tuberculosis</w:t>
            </w:r>
            <w:r w:rsidRPr="007A607D">
              <w:rPr>
                <w:rFonts w:eastAsia="Arial Unicode MS" w:cs="David"/>
                <w:szCs w:val="24"/>
                <w:rtl/>
              </w:rPr>
              <w:t>)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Pazopanib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Votrient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קו שלישי בסרטן כליה מתקדם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Pembrolizumab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Keytruda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בסרטן ריאה מסוג </w:t>
            </w:r>
            <w:r w:rsidRPr="007A607D">
              <w:rPr>
                <w:rFonts w:eastAsia="Arial Unicode MS" w:cs="David"/>
                <w:szCs w:val="24"/>
              </w:rPr>
              <w:t>NSCLC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כקו טיפול ראשון (בחולים המבטאים </w:t>
            </w:r>
            <w:r w:rsidRPr="007A607D">
              <w:rPr>
                <w:rFonts w:eastAsia="Arial Unicode MS" w:cs="David"/>
                <w:szCs w:val="24"/>
              </w:rPr>
              <w:t>PDL1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ברמה של 50% ומעלה)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Pembrolizumab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Keytruda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בסרטן ראש צוואר קשקשי (</w:t>
            </w:r>
            <w:r w:rsidRPr="007A607D">
              <w:rPr>
                <w:rFonts w:eastAsia="Arial Unicode MS" w:cs="David"/>
                <w:szCs w:val="24"/>
              </w:rPr>
              <w:t>HNSCC</w:t>
            </w:r>
            <w:r w:rsidRPr="007A607D">
              <w:rPr>
                <w:rFonts w:eastAsia="Arial Unicode MS" w:cs="David"/>
                <w:szCs w:val="24"/>
                <w:rtl/>
              </w:rPr>
              <w:t>) גרורתי או חוזר - קו טיפול מתקדם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Pralatrexate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Difolta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ב-</w:t>
            </w:r>
            <w:r w:rsidRPr="007A607D">
              <w:rPr>
                <w:rFonts w:eastAsia="Arial Unicode MS" w:cs="David"/>
                <w:szCs w:val="24"/>
              </w:rPr>
              <w:t>PTCL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חוזרת /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רפרקטורית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- הרחבת מסגרת ההכללה בסל - החולה יהיה זכאי לקבל במהלך מחלתו את שתי התרופות -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Difolta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,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Istodax</w:t>
            </w:r>
            <w:proofErr w:type="spellEnd"/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Romidepsin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Istodax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ב-</w:t>
            </w:r>
            <w:r w:rsidRPr="007A607D">
              <w:rPr>
                <w:rFonts w:eastAsia="Arial Unicode MS" w:cs="David"/>
                <w:szCs w:val="24"/>
              </w:rPr>
              <w:t>PTCL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חוזרת /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רפרקטורית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- הרחבת מסגרת ההכללה בסל - החולה יהיה זכאי לקבל במהלך מחלתו את שתי התרופות -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Difolta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,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Istodax</w:t>
            </w:r>
            <w:proofErr w:type="spellEnd"/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Sacubitril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Valsartan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Entresto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באי ספיקה לבבית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תסמינית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על אף טיפול מיטבי - עבור קבוצת חולים מוגדרת בהתוויות מסוימות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Sebelipase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alfa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Kanuma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ב-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Lysosomal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Acid Lipase Deficiency (LAL-D)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lastRenderedPageBreak/>
              <w:t>Secukinumab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Cosentyx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ביולוגי ב-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Ankylosing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spondylitis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(בהתאם למסגרת ההכללה בסל של תכשירים ביולוגיים הכלולים בסל להתוויה זו)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Secukinumab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Cosentyx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ביולוגי ב-</w:t>
            </w:r>
            <w:r w:rsidRPr="007A607D">
              <w:rPr>
                <w:rFonts w:eastAsia="Arial Unicode MS" w:cs="David"/>
                <w:szCs w:val="24"/>
              </w:rPr>
              <w:t>Psoriatic arthritis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(בהתאם למסגרת ההכללה בסל של תכשירים ביולוגיים הכלולים בסל להתוויה זו)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Selexipag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Uptravi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ביתר לחץ דם ריאתי דרגה תפקודית </w:t>
            </w:r>
            <w:r w:rsidRPr="007A607D">
              <w:rPr>
                <w:rFonts w:eastAsia="Arial Unicode MS" w:cs="David"/>
                <w:szCs w:val="24"/>
              </w:rPr>
              <w:t>III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כקו טיפול מתקדם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</w:rPr>
              <w:t>Sildenafil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Revatio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/ Slider</w:t>
            </w:r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ביתר לחץ דם ריאתי  - הרחבת מסגרת ההכללה בסל - טיפול משולב של </w:t>
            </w:r>
            <w:r w:rsidRPr="007A607D">
              <w:rPr>
                <w:rFonts w:eastAsia="Arial Unicode MS" w:cs="David"/>
                <w:szCs w:val="24"/>
              </w:rPr>
              <w:t>ERA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עם </w:t>
            </w:r>
            <w:r w:rsidRPr="007A607D">
              <w:rPr>
                <w:rFonts w:eastAsia="Arial Unicode MS" w:cs="David"/>
                <w:szCs w:val="24"/>
              </w:rPr>
              <w:t>PDE5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 בשלב ראשוני (</w:t>
            </w:r>
            <w:r w:rsidRPr="007A607D">
              <w:rPr>
                <w:rFonts w:eastAsia="Arial Unicode MS" w:cs="David"/>
                <w:szCs w:val="24"/>
              </w:rPr>
              <w:t>upfront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) עבור חולי יתר לחץ דם ריאתי עורקי, </w:t>
            </w:r>
            <w:r w:rsidRPr="007A607D">
              <w:rPr>
                <w:rFonts w:eastAsia="Arial Unicode MS" w:cs="David"/>
                <w:szCs w:val="24"/>
              </w:rPr>
              <w:t>Group 1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, נאיביים בדרגה תפקודית </w:t>
            </w:r>
            <w:r w:rsidRPr="007A607D">
              <w:rPr>
                <w:rFonts w:eastAsia="Arial Unicode MS" w:cs="David"/>
                <w:szCs w:val="24"/>
              </w:rPr>
              <w:t>III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Sofosbuvir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Ledipasvir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Harvoni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 w:hint="cs"/>
                <w:szCs w:val="24"/>
                <w:rtl/>
              </w:rPr>
              <w:t xml:space="preserve">טיפול בהפטיטיס </w:t>
            </w:r>
            <w:r w:rsidRPr="007A607D">
              <w:rPr>
                <w:rFonts w:eastAsia="Arial Unicode MS" w:cs="David"/>
                <w:szCs w:val="24"/>
              </w:rPr>
              <w:t>C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 כרונית- 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הרחבת מסגרת ההכללה בסל עבור חולים עם גנוטיפ 1 דרגת פיברוזיס </w:t>
            </w:r>
            <w:r w:rsidRPr="007A607D">
              <w:rPr>
                <w:rFonts w:eastAsia="Arial Unicode MS" w:cs="David"/>
                <w:szCs w:val="24"/>
              </w:rPr>
              <w:t>F2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Sofosbuvir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Ledipasvir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Harvoni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 w:hint="cs"/>
                <w:szCs w:val="24"/>
                <w:rtl/>
              </w:rPr>
              <w:t xml:space="preserve">טיפול בהפטיטיס </w:t>
            </w:r>
            <w:r w:rsidRPr="007A607D">
              <w:rPr>
                <w:rFonts w:eastAsia="Arial Unicode MS" w:cs="David"/>
                <w:szCs w:val="24"/>
              </w:rPr>
              <w:t>C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 כרונית - 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הרחבת מסגרת ההכללה בסל עבור חולים עם גנוטיפ 4 דרגת פיברוזיס </w:t>
            </w:r>
            <w:r w:rsidRPr="007A607D">
              <w:rPr>
                <w:rFonts w:eastAsia="Arial Unicode MS" w:cs="David"/>
                <w:szCs w:val="24"/>
              </w:rPr>
              <w:t>F2, F3, F4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Sofosbuvir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Velpatasvir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Epclusa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 w:hint="cs"/>
                <w:szCs w:val="24"/>
                <w:rtl/>
              </w:rPr>
              <w:t xml:space="preserve">טיפול בהפטיטיס </w:t>
            </w:r>
            <w:r w:rsidRPr="007A607D">
              <w:rPr>
                <w:rFonts w:eastAsia="Arial Unicode MS" w:cs="David"/>
                <w:szCs w:val="24"/>
              </w:rPr>
              <w:t>C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 כרונית - 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עבור חולים עם גנוטיפ </w:t>
            </w:r>
            <w:r w:rsidRPr="007A607D">
              <w:rPr>
                <w:rFonts w:eastAsia="Arial Unicode MS" w:cs="David" w:hint="cs"/>
                <w:szCs w:val="24"/>
                <w:rtl/>
              </w:rPr>
              <w:t>1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דרגת פיברוזיס </w:t>
            </w:r>
            <w:r w:rsidRPr="007A607D">
              <w:rPr>
                <w:rFonts w:eastAsia="Arial Unicode MS" w:cs="David"/>
                <w:szCs w:val="24"/>
              </w:rPr>
              <w:t>F2, F3, F4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Sofosbuvir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Velpatasvir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Epclusa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 w:hint="cs"/>
                <w:szCs w:val="24"/>
                <w:rtl/>
              </w:rPr>
              <w:t xml:space="preserve">טיפול בהפטיטיס </w:t>
            </w:r>
            <w:r w:rsidRPr="007A607D">
              <w:rPr>
                <w:rFonts w:eastAsia="Arial Unicode MS" w:cs="David"/>
                <w:szCs w:val="24"/>
              </w:rPr>
              <w:t>C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 כרונית - 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עבור חולים עם גנוטיפ </w:t>
            </w:r>
            <w:r w:rsidRPr="007A607D">
              <w:rPr>
                <w:rFonts w:eastAsia="Arial Unicode MS" w:cs="David" w:hint="cs"/>
                <w:szCs w:val="24"/>
                <w:rtl/>
              </w:rPr>
              <w:t>2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דרגת פיברוזיס </w:t>
            </w:r>
            <w:r w:rsidRPr="007A607D">
              <w:rPr>
                <w:rFonts w:eastAsia="Arial Unicode MS" w:cs="David"/>
                <w:szCs w:val="24"/>
              </w:rPr>
              <w:t>F3, F4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Sofosbuvir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Velpatasvir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Epclusa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 w:hint="cs"/>
                <w:szCs w:val="24"/>
                <w:rtl/>
              </w:rPr>
              <w:t xml:space="preserve">טיפול בהפטיטיס </w:t>
            </w:r>
            <w:r w:rsidRPr="007A607D">
              <w:rPr>
                <w:rFonts w:eastAsia="Arial Unicode MS" w:cs="David"/>
                <w:szCs w:val="24"/>
              </w:rPr>
              <w:t>C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 כרונית - 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עבור חולים עם גנוטיפ </w:t>
            </w:r>
            <w:r w:rsidRPr="007A607D">
              <w:rPr>
                <w:rFonts w:eastAsia="Arial Unicode MS" w:cs="David" w:hint="cs"/>
                <w:szCs w:val="24"/>
                <w:rtl/>
              </w:rPr>
              <w:t>3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דרגת פיברוזיס </w:t>
            </w:r>
            <w:r w:rsidRPr="007A607D">
              <w:rPr>
                <w:rFonts w:eastAsia="Arial Unicode MS" w:cs="David"/>
                <w:szCs w:val="24"/>
              </w:rPr>
              <w:t>F3, F4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Sofosbuvir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+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Velpatasvir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Epclusa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 w:hint="cs"/>
                <w:szCs w:val="24"/>
                <w:rtl/>
              </w:rPr>
              <w:t xml:space="preserve">טיפול בהפטיטיס </w:t>
            </w:r>
            <w:r w:rsidRPr="007A607D">
              <w:rPr>
                <w:rFonts w:eastAsia="Arial Unicode MS" w:cs="David"/>
                <w:szCs w:val="24"/>
              </w:rPr>
              <w:t>C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 כרונית - 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עבור חולים עם גנוטיפ </w:t>
            </w:r>
            <w:r w:rsidRPr="007A607D">
              <w:rPr>
                <w:rFonts w:eastAsia="Arial Unicode MS" w:cs="David" w:hint="cs"/>
                <w:szCs w:val="24"/>
                <w:rtl/>
              </w:rPr>
              <w:t>4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דרגת פיברוזיס </w:t>
            </w:r>
            <w:r w:rsidRPr="007A607D">
              <w:rPr>
                <w:rFonts w:eastAsia="Arial Unicode MS" w:cs="David"/>
                <w:szCs w:val="24"/>
              </w:rPr>
              <w:t>F2, F3, F4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Somatropin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Norditropin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בילדים עם קומה נמוכה על רקע תסמונת </w:t>
            </w:r>
            <w:r w:rsidRPr="007A607D">
              <w:rPr>
                <w:rFonts w:eastAsia="Arial Unicode MS" w:cs="David"/>
                <w:szCs w:val="24"/>
              </w:rPr>
              <w:t>Noonan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lastRenderedPageBreak/>
              <w:t>Sorafenib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Nexavar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  <w:rtl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קו שלישי בסרטן כליה מתקדם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Sunitinib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Sutent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קו שלישי בסרטן כליה מתקדם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Tadalafil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Adcirca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/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Tadir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/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Tadalafil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Teva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ביתר לחץ דם ריאתי  - הרחבת מסגרת ההכללה בסל - טיפול משולב של </w:t>
            </w:r>
            <w:r w:rsidRPr="007A607D">
              <w:rPr>
                <w:rFonts w:eastAsia="Arial Unicode MS" w:cs="David"/>
                <w:szCs w:val="24"/>
              </w:rPr>
              <w:t>ERA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עם </w:t>
            </w:r>
            <w:r w:rsidRPr="007A607D">
              <w:rPr>
                <w:rFonts w:eastAsia="Arial Unicode MS" w:cs="David"/>
                <w:szCs w:val="24"/>
              </w:rPr>
              <w:t>PDE5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 בשלב ראשוני (</w:t>
            </w:r>
            <w:r w:rsidRPr="007A607D">
              <w:rPr>
                <w:rFonts w:eastAsia="Arial Unicode MS" w:cs="David"/>
                <w:szCs w:val="24"/>
              </w:rPr>
              <w:t>upfront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) עבור חולי יתר לחץ דם ריאתי עורקי, </w:t>
            </w:r>
            <w:r w:rsidRPr="007A607D">
              <w:rPr>
                <w:rFonts w:eastAsia="Arial Unicode MS" w:cs="David"/>
                <w:szCs w:val="24"/>
              </w:rPr>
              <w:t>Group 1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, נאיביים בדרגה תפקודית </w:t>
            </w:r>
            <w:r w:rsidRPr="007A607D">
              <w:rPr>
                <w:rFonts w:eastAsia="Arial Unicode MS" w:cs="David"/>
                <w:szCs w:val="24"/>
              </w:rPr>
              <w:t>III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Tafamidis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Vyndaqel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  <w:rtl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ב- </w:t>
            </w:r>
            <w:proofErr w:type="spellStart"/>
            <w:r w:rsidRPr="007A607D">
              <w:rPr>
                <w:rFonts w:eastAsia="Arial Unicode MS" w:cs="David"/>
                <w:szCs w:val="24"/>
              </w:rPr>
              <w:t>transthyretin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amyloidosis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עם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פולינוירופתיה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סימפטומטית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Teduglutide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Gattex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בתסמונת המעי הקצר (</w:t>
            </w:r>
            <w:r w:rsidRPr="007A607D">
              <w:rPr>
                <w:rFonts w:eastAsia="Arial Unicode MS" w:cs="David"/>
                <w:szCs w:val="24"/>
              </w:rPr>
              <w:t>Short bowel syndrome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) בקבוצת חולים מוגדרת עם סיבוכים קשים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ומסכני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חיים בהתוויות מסוימות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Temsiroimus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Torisel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קו שלישי בסרטן כליה מתקדם</w:t>
            </w:r>
          </w:p>
        </w:tc>
      </w:tr>
      <w:tr w:rsidR="007A607D" w:rsidRPr="007A607D" w:rsidTr="007A607D">
        <w:trPr>
          <w:cantSplit/>
          <w:trHeight w:val="509"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Trametinib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Mekinist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במלנומה מתקדמת לא נתיחה או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גרורתית</w:t>
            </w:r>
            <w:proofErr w:type="spellEnd"/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Ulipristal</w:t>
            </w:r>
            <w:proofErr w:type="spellEnd"/>
            <w:r w:rsidRPr="007A607D">
              <w:rPr>
                <w:rFonts w:eastAsia="Arial Unicode MS" w:cs="David"/>
                <w:szCs w:val="24"/>
              </w:rPr>
              <w:t xml:space="preserve"> acetate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</w:rPr>
              <w:t>Ella</w:t>
            </w:r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</w:rPr>
              <w:t>Emergency contraception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עבור נערות עד גיל 20 </w:t>
            </w:r>
            <w:r w:rsidRPr="007A607D">
              <w:rPr>
                <w:rFonts w:eastAsia="Arial Unicode MS" w:cs="David"/>
                <w:szCs w:val="24"/>
                <w:rtl/>
              </w:rPr>
              <w:br/>
              <w:t>מתן רק עם מרשם רופא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Ustekinumab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Stelara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טיפול במחלת </w:t>
            </w:r>
            <w:proofErr w:type="spellStart"/>
            <w:r w:rsidRPr="007A607D">
              <w:rPr>
                <w:rFonts w:eastAsia="Arial Unicode MS" w:cs="David"/>
                <w:szCs w:val="24"/>
                <w:rtl/>
              </w:rPr>
              <w:t>קרוהן</w:t>
            </w:r>
            <w:proofErr w:type="spellEnd"/>
            <w:r w:rsidRPr="007A607D">
              <w:rPr>
                <w:rFonts w:eastAsia="Arial Unicode MS" w:cs="David"/>
                <w:szCs w:val="24"/>
                <w:rtl/>
              </w:rPr>
              <w:t xml:space="preserve"> - כקו טיפול מתקדם לאחר כישלון טיפולי בתרופות ביולוגיות</w:t>
            </w:r>
          </w:p>
        </w:tc>
      </w:tr>
      <w:tr w:rsidR="007A607D" w:rsidRPr="007A607D" w:rsidTr="007A607D">
        <w:trPr>
          <w:cantSplit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Venetoxclax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bidi w:val="0"/>
              <w:spacing w:line="360" w:lineRule="auto"/>
              <w:rPr>
                <w:rFonts w:eastAsia="Arial Unicode MS" w:cs="David"/>
                <w:szCs w:val="24"/>
              </w:rPr>
            </w:pPr>
            <w:proofErr w:type="spellStart"/>
            <w:r w:rsidRPr="007A607D">
              <w:rPr>
                <w:rFonts w:eastAsia="Arial Unicode MS" w:cs="David"/>
                <w:szCs w:val="24"/>
              </w:rPr>
              <w:t>Venclexta</w:t>
            </w:r>
            <w:proofErr w:type="spellEnd"/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טיפול ב-</w:t>
            </w:r>
            <w:r w:rsidRPr="007A607D">
              <w:rPr>
                <w:rFonts w:eastAsia="Arial Unicode MS" w:cs="David"/>
                <w:szCs w:val="24"/>
              </w:rPr>
              <w:t>CLL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חוזרת בחולים עם מוטציה מסוג  </w:t>
            </w:r>
            <w:r w:rsidRPr="007A607D">
              <w:rPr>
                <w:rFonts w:eastAsia="Arial Unicode MS" w:cs="David"/>
                <w:szCs w:val="24"/>
              </w:rPr>
              <w:t>del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17</w:t>
            </w:r>
            <w:r w:rsidRPr="007A607D">
              <w:rPr>
                <w:rFonts w:eastAsia="Arial Unicode MS" w:cs="David"/>
                <w:szCs w:val="24"/>
              </w:rPr>
              <w:t>p</w:t>
            </w:r>
          </w:p>
        </w:tc>
      </w:tr>
      <w:tr w:rsidR="007A607D" w:rsidRPr="007A607D" w:rsidTr="007A607D">
        <w:trPr>
          <w:cantSplit/>
        </w:trPr>
        <w:tc>
          <w:tcPr>
            <w:tcW w:w="9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תרופות לטיפול בנשאי</w:t>
            </w:r>
            <w:r w:rsidRPr="007A607D">
              <w:rPr>
                <w:rFonts w:eastAsia="Arial Unicode MS" w:cs="David"/>
                <w:szCs w:val="24"/>
              </w:rPr>
              <w:t xml:space="preserve"> HIV - </w:t>
            </w:r>
            <w:r w:rsidRPr="007A607D">
              <w:rPr>
                <w:rFonts w:eastAsia="Arial Unicode MS" w:cs="David"/>
                <w:szCs w:val="24"/>
                <w:rtl/>
              </w:rPr>
              <w:t>הרחבת מסגרת ההכללה בסל</w:t>
            </w:r>
            <w:r w:rsidRPr="007A607D">
              <w:rPr>
                <w:rFonts w:eastAsia="Arial Unicode MS" w:cs="David"/>
                <w:szCs w:val="24"/>
              </w:rPr>
              <w:t xml:space="preserve"> - </w:t>
            </w:r>
          </w:p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  <w:rtl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התחלת טיפול בכלל הנשאים ללא תלות בע</w:t>
            </w:r>
            <w:r w:rsidRPr="007A607D">
              <w:rPr>
                <w:rFonts w:eastAsia="Arial Unicode MS" w:cs="David" w:hint="cs"/>
                <w:szCs w:val="24"/>
                <w:rtl/>
              </w:rPr>
              <w:t>ר</w:t>
            </w:r>
            <w:r w:rsidRPr="007A607D">
              <w:rPr>
                <w:rFonts w:eastAsia="Arial Unicode MS" w:cs="David"/>
                <w:szCs w:val="24"/>
                <w:rtl/>
              </w:rPr>
              <w:t>ך</w:t>
            </w:r>
            <w:r w:rsidRPr="007A607D">
              <w:rPr>
                <w:rFonts w:eastAsia="Arial Unicode MS" w:cs="David" w:hint="cs"/>
                <w:szCs w:val="24"/>
                <w:rtl/>
              </w:rPr>
              <w:t xml:space="preserve"> </w:t>
            </w:r>
            <w:r w:rsidRPr="007A607D">
              <w:rPr>
                <w:rFonts w:eastAsia="Arial Unicode MS" w:cs="David"/>
                <w:szCs w:val="24"/>
              </w:rPr>
              <w:t xml:space="preserve"> CD4</w:t>
            </w:r>
          </w:p>
        </w:tc>
      </w:tr>
      <w:tr w:rsidR="007A607D" w:rsidRPr="007A607D" w:rsidTr="007A607D">
        <w:trPr>
          <w:cantSplit/>
        </w:trPr>
        <w:tc>
          <w:tcPr>
            <w:tcW w:w="9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  <w:rtl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lastRenderedPageBreak/>
              <w:t xml:space="preserve">טיפול בהפטיטיס </w:t>
            </w:r>
            <w:r w:rsidRPr="007A607D">
              <w:rPr>
                <w:rFonts w:eastAsia="Arial Unicode MS" w:cs="David"/>
                <w:szCs w:val="24"/>
              </w:rPr>
              <w:t>C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כרונית - הרחבת מסגרת ההכללה בסל עבור חולים עם גנוטיפ 1 או 4 ללא תלות בדרגת פיברוזיס, הסובלים במקביל מאחד או יותר מאלה:</w:t>
            </w:r>
          </w:p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1. </w:t>
            </w:r>
            <w:r w:rsidRPr="007A607D">
              <w:rPr>
                <w:rFonts w:eastAsia="Arial Unicode MS" w:cs="David"/>
                <w:szCs w:val="24"/>
              </w:rPr>
              <w:t>HIV co infection</w:t>
            </w:r>
          </w:p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2. </w:t>
            </w:r>
            <w:r w:rsidRPr="007A607D">
              <w:rPr>
                <w:rFonts w:eastAsia="Arial Unicode MS" w:cs="David"/>
                <w:szCs w:val="24"/>
              </w:rPr>
              <w:t>HBV co infection</w:t>
            </w:r>
          </w:p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  <w:rtl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3. מושתלי כבד</w:t>
            </w:r>
          </w:p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  <w:rtl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 xml:space="preserve">4. חולים שחווים חזרת </w:t>
            </w:r>
            <w:r w:rsidRPr="007A607D">
              <w:rPr>
                <w:rFonts w:eastAsia="Arial Unicode MS" w:cs="David"/>
                <w:szCs w:val="24"/>
              </w:rPr>
              <w:t>HCV</w:t>
            </w:r>
            <w:r w:rsidRPr="007A607D">
              <w:rPr>
                <w:rFonts w:eastAsia="Arial Unicode MS" w:cs="David"/>
                <w:szCs w:val="24"/>
                <w:rtl/>
              </w:rPr>
              <w:t xml:space="preserve"> לאחר השתלת כבד</w:t>
            </w:r>
          </w:p>
          <w:p w:rsidR="007A607D" w:rsidRPr="007A607D" w:rsidRDefault="007A607D" w:rsidP="007A607D">
            <w:pPr>
              <w:spacing w:line="360" w:lineRule="auto"/>
              <w:rPr>
                <w:rFonts w:eastAsia="Arial Unicode MS" w:cs="David"/>
                <w:szCs w:val="24"/>
                <w:rtl/>
              </w:rPr>
            </w:pPr>
            <w:r w:rsidRPr="007A607D">
              <w:rPr>
                <w:rFonts w:eastAsia="Arial Unicode MS" w:cs="David"/>
                <w:szCs w:val="24"/>
                <w:rtl/>
              </w:rPr>
              <w:t>5. חולים הסובלים מהתבטאויות חוץ כבדיות משמעותיות.</w:t>
            </w:r>
          </w:p>
        </w:tc>
      </w:tr>
    </w:tbl>
    <w:p w:rsidR="007A607D" w:rsidRPr="007A607D" w:rsidRDefault="007A607D" w:rsidP="007A607D">
      <w:pPr>
        <w:rPr>
          <w:rtl/>
        </w:rPr>
      </w:pPr>
    </w:p>
    <w:p w:rsidR="007A607D" w:rsidRPr="007A607D" w:rsidRDefault="007A607D" w:rsidP="007A607D">
      <w:pPr>
        <w:rPr>
          <w:rtl/>
        </w:rPr>
      </w:pPr>
      <w:r w:rsidRPr="007A607D">
        <w:rPr>
          <w:rFonts w:cs="David"/>
          <w:b/>
          <w:bCs/>
          <w:szCs w:val="24"/>
          <w:rtl/>
        </w:rPr>
        <w:t>ג. שירותים באחריות משרד הבריאות</w:t>
      </w:r>
    </w:p>
    <w:tbl>
      <w:tblPr>
        <w:bidiVisual/>
        <w:tblW w:w="9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25"/>
        <w:gridCol w:w="7047"/>
      </w:tblGrid>
      <w:tr w:rsidR="007A607D" w:rsidRPr="007A607D" w:rsidTr="007A607D">
        <w:tc>
          <w:tcPr>
            <w:tcW w:w="232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b/>
                <w:bCs/>
                <w:szCs w:val="24"/>
              </w:rPr>
            </w:pPr>
            <w:r w:rsidRPr="007A607D">
              <w:rPr>
                <w:rFonts w:cs="David"/>
                <w:b/>
                <w:bCs/>
                <w:szCs w:val="24"/>
                <w:rtl/>
              </w:rPr>
              <w:t>שם הטכנולוגיה</w:t>
            </w:r>
          </w:p>
        </w:tc>
        <w:tc>
          <w:tcPr>
            <w:tcW w:w="7047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b/>
                <w:bCs/>
                <w:szCs w:val="24"/>
              </w:rPr>
            </w:pPr>
            <w:r w:rsidRPr="007A607D">
              <w:rPr>
                <w:rFonts w:cs="David"/>
                <w:b/>
                <w:bCs/>
                <w:szCs w:val="24"/>
                <w:rtl/>
              </w:rPr>
              <w:t>התוויה</w:t>
            </w:r>
          </w:p>
        </w:tc>
      </w:tr>
      <w:tr w:rsidR="007A607D" w:rsidRPr="007A607D" w:rsidTr="007A607D">
        <w:tc>
          <w:tcPr>
            <w:tcW w:w="232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 xml:space="preserve">בדיקות סקר לגילוי נשאים של מחלות גנטיות שבהן שיעור </w:t>
            </w:r>
            <w:proofErr w:type="spellStart"/>
            <w:r w:rsidRPr="007A607D">
              <w:rPr>
                <w:rFonts w:cs="David"/>
                <w:szCs w:val="24"/>
                <w:rtl/>
              </w:rPr>
              <w:t>הנשאות</w:t>
            </w:r>
            <w:proofErr w:type="spellEnd"/>
            <w:r w:rsidRPr="007A607D">
              <w:rPr>
                <w:rFonts w:cs="David"/>
                <w:szCs w:val="24"/>
                <w:rtl/>
              </w:rPr>
              <w:t xml:space="preserve"> הוא 1:60 באוכלוסייה בסיכון</w:t>
            </w:r>
          </w:p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</w:p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</w:p>
        </w:tc>
        <w:tc>
          <w:tcPr>
            <w:tcW w:w="7047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 xml:space="preserve">הזכאות תינתן לאבחון מחלות גנטיות באוכלוסיות בסיכון עם שכיחות </w:t>
            </w:r>
            <w:proofErr w:type="spellStart"/>
            <w:r w:rsidRPr="007A607D">
              <w:rPr>
                <w:rFonts w:cs="David"/>
                <w:szCs w:val="24"/>
                <w:rtl/>
              </w:rPr>
              <w:t>נשאות</w:t>
            </w:r>
            <w:proofErr w:type="spellEnd"/>
            <w:r w:rsidRPr="007A607D">
              <w:rPr>
                <w:rFonts w:cs="David"/>
                <w:szCs w:val="24"/>
                <w:rtl/>
              </w:rPr>
              <w:t xml:space="preserve"> המחלה של 1:60 (שכיחות המחלה 1:15,000 לידות חי). הוספה לרשימת המחלות המוגדרות בחוק את המפורט להלן: </w:t>
            </w:r>
          </w:p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 xml:space="preserve">*מחלת </w:t>
            </w:r>
            <w:r w:rsidRPr="007A607D">
              <w:rPr>
                <w:rFonts w:cs="David"/>
                <w:szCs w:val="24"/>
              </w:rPr>
              <w:t>SPG49</w:t>
            </w:r>
            <w:r w:rsidRPr="007A607D">
              <w:rPr>
                <w:rFonts w:cs="David"/>
                <w:szCs w:val="24"/>
                <w:rtl/>
              </w:rPr>
              <w:t xml:space="preserve"> ביהודים ממוצא בוכרה</w:t>
            </w:r>
          </w:p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 w:hint="cs"/>
                <w:szCs w:val="24"/>
                <w:rtl/>
              </w:rPr>
              <w:t>*</w:t>
            </w:r>
            <w:r w:rsidRPr="007A607D">
              <w:rPr>
                <w:rFonts w:cs="David"/>
                <w:szCs w:val="24"/>
                <w:rtl/>
              </w:rPr>
              <w:t xml:space="preserve">מחלת </w:t>
            </w:r>
            <w:r w:rsidRPr="007A607D">
              <w:rPr>
                <w:rFonts w:cs="David"/>
                <w:szCs w:val="24"/>
              </w:rPr>
              <w:t xml:space="preserve">SLO) Smith </w:t>
            </w:r>
            <w:proofErr w:type="spellStart"/>
            <w:r w:rsidRPr="007A607D">
              <w:rPr>
                <w:rFonts w:cs="David"/>
                <w:szCs w:val="24"/>
              </w:rPr>
              <w:t>Lemli</w:t>
            </w:r>
            <w:proofErr w:type="spellEnd"/>
            <w:r w:rsidRPr="007A607D">
              <w:rPr>
                <w:rFonts w:cs="David"/>
                <w:szCs w:val="24"/>
              </w:rPr>
              <w:t xml:space="preserve"> </w:t>
            </w:r>
            <w:proofErr w:type="spellStart"/>
            <w:r w:rsidRPr="007A607D">
              <w:rPr>
                <w:rFonts w:cs="David"/>
                <w:szCs w:val="24"/>
              </w:rPr>
              <w:t>Opitz</w:t>
            </w:r>
            <w:proofErr w:type="spellEnd"/>
            <w:r w:rsidRPr="007A607D">
              <w:rPr>
                <w:rFonts w:cs="David"/>
                <w:szCs w:val="24"/>
                <w:rtl/>
              </w:rPr>
              <w:t xml:space="preserve">) ביהודים ממוצא האשכנזי  </w:t>
            </w:r>
          </w:p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>*מחלות שכיחות בקרב בני מיעוטים (ערבים ודרוזים) על פי רשימה</w:t>
            </w:r>
            <w:r w:rsidRPr="007A607D">
              <w:rPr>
                <w:rFonts w:cs="David" w:hint="cs"/>
                <w:szCs w:val="24"/>
                <w:rtl/>
              </w:rPr>
              <w:t xml:space="preserve"> שתפורסם בחוזר. </w:t>
            </w:r>
          </w:p>
        </w:tc>
      </w:tr>
      <w:tr w:rsidR="007A607D" w:rsidRPr="007A607D" w:rsidTr="007A607D">
        <w:tc>
          <w:tcPr>
            <w:tcW w:w="232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 xml:space="preserve">סדי </w:t>
            </w:r>
            <w:r w:rsidRPr="007A607D">
              <w:rPr>
                <w:rFonts w:cs="David"/>
                <w:szCs w:val="24"/>
              </w:rPr>
              <w:t>AFO</w:t>
            </w:r>
            <w:r w:rsidRPr="007A607D">
              <w:rPr>
                <w:rFonts w:cs="David"/>
                <w:szCs w:val="24"/>
                <w:rtl/>
              </w:rPr>
              <w:t xml:space="preserve"> לשמירת מנח וטווחי תנועה בכפות הרגליים</w:t>
            </w:r>
          </w:p>
        </w:tc>
        <w:tc>
          <w:tcPr>
            <w:tcW w:w="7047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>עבור ילדים עם פוטנציאל עתידי להליכה</w:t>
            </w:r>
          </w:p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</w:p>
        </w:tc>
      </w:tr>
      <w:tr w:rsidR="007A607D" w:rsidRPr="007A607D" w:rsidTr="007A607D">
        <w:tc>
          <w:tcPr>
            <w:tcW w:w="2325" w:type="dxa"/>
            <w:tcMar>
              <w:top w:w="57" w:type="dxa"/>
            </w:tcMar>
          </w:tcPr>
          <w:p w:rsidR="007A607D" w:rsidRPr="007A607D" w:rsidRDefault="007A607D" w:rsidP="007A607D">
            <w:pPr>
              <w:autoSpaceDE w:val="0"/>
              <w:autoSpaceDN w:val="0"/>
              <w:adjustRightInd w:val="0"/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 xml:space="preserve">סדי </w:t>
            </w:r>
            <w:r w:rsidRPr="007A607D">
              <w:rPr>
                <w:rFonts w:cs="David"/>
                <w:szCs w:val="24"/>
              </w:rPr>
              <w:t>AFO</w:t>
            </w:r>
            <w:r w:rsidRPr="007A607D">
              <w:rPr>
                <w:rFonts w:cs="David"/>
                <w:szCs w:val="24"/>
                <w:rtl/>
              </w:rPr>
              <w:t xml:space="preserve"> לשמירת מנח וטווחי תנועה בכפות הרגליים</w:t>
            </w:r>
          </w:p>
        </w:tc>
        <w:tc>
          <w:tcPr>
            <w:tcW w:w="7047" w:type="dxa"/>
            <w:tcMar>
              <w:top w:w="57" w:type="dxa"/>
            </w:tcMar>
          </w:tcPr>
          <w:p w:rsidR="007A607D" w:rsidRPr="007A607D" w:rsidRDefault="007A607D" w:rsidP="007A607D">
            <w:pPr>
              <w:spacing w:line="360" w:lineRule="auto"/>
              <w:rPr>
                <w:rFonts w:cs="David"/>
                <w:szCs w:val="24"/>
                <w:rtl/>
              </w:rPr>
            </w:pPr>
            <w:r w:rsidRPr="007A607D">
              <w:rPr>
                <w:rFonts w:cs="David"/>
                <w:szCs w:val="24"/>
                <w:rtl/>
              </w:rPr>
              <w:t>עבור ילדים שנזקקים לתנוחת רגל טיפוסית לצורך עמידה</w:t>
            </w:r>
          </w:p>
        </w:tc>
      </w:tr>
    </w:tbl>
    <w:p w:rsidR="007A607D" w:rsidRPr="007A607D" w:rsidRDefault="007A607D" w:rsidP="007A607D">
      <w:pPr>
        <w:spacing w:line="360" w:lineRule="auto"/>
        <w:rPr>
          <w:rFonts w:cs="David"/>
          <w:sz w:val="24"/>
          <w:szCs w:val="24"/>
          <w:rtl/>
        </w:rPr>
      </w:pPr>
    </w:p>
    <w:p w:rsidR="00CA5755" w:rsidRPr="007A607D" w:rsidRDefault="00CA5755" w:rsidP="007A607D">
      <w:pPr>
        <w:spacing w:line="240" w:lineRule="auto"/>
        <w:rPr>
          <w:rFonts w:asciiTheme="minorBidi" w:hAnsiTheme="minorBidi" w:cstheme="minorBidi"/>
          <w:sz w:val="18"/>
          <w:szCs w:val="18"/>
        </w:rPr>
      </w:pPr>
      <w:bookmarkStart w:id="0" w:name="_GoBack"/>
      <w:bookmarkEnd w:id="0"/>
    </w:p>
    <w:sectPr w:rsidR="00CA5755" w:rsidRPr="007A607D" w:rsidSect="0022011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2B3"/>
    <w:rsid w:val="0022011A"/>
    <w:rsid w:val="007A607D"/>
    <w:rsid w:val="00A742B3"/>
    <w:rsid w:val="00CA5755"/>
    <w:rsid w:val="00F7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2B3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2B3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C18F67E5B8A9DC4D970E760AB713FE5C" ma:contentTypeVersion="1" ma:contentTypeDescription="צור מסמך חדש." ma:contentTypeScope="" ma:versionID="74f61096e7f46b26897f84b6e95a49d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b77f4b718aa743763192b049d48d59a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מתזמן תאריך התחלה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מתזמן תאריך סיום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 ma:readOnly="true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088338-7525-40C5-A847-428CA7F219DC}"/>
</file>

<file path=customXml/itemProps2.xml><?xml version="1.0" encoding="utf-8"?>
<ds:datastoreItem xmlns:ds="http://schemas.openxmlformats.org/officeDocument/2006/customXml" ds:itemID="{A8528649-9C73-4179-85B6-03F90B2B6F1A}"/>
</file>

<file path=customXml/itemProps3.xml><?xml version="1.0" encoding="utf-8"?>
<ds:datastoreItem xmlns:ds="http://schemas.openxmlformats.org/officeDocument/2006/customXml" ds:itemID="{AD03DCD6-84A1-415A-ABCC-B7E5B54322C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1992</Words>
  <Characters>9964</Characters>
  <Application>Microsoft Office Word</Application>
  <DocSecurity>0</DocSecurity>
  <Lines>83</Lines>
  <Paragraphs>23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ענת קלמנוביץ</dc:creator>
  <cp:lastModifiedBy>ענת קלמנוביץ</cp:lastModifiedBy>
  <cp:revision>1</cp:revision>
  <dcterms:created xsi:type="dcterms:W3CDTF">2017-01-08T16:46:00Z</dcterms:created>
  <dcterms:modified xsi:type="dcterms:W3CDTF">2017-01-08T17:10:00Z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0x010100C18F67E5B8A9DC4D970E760AB713FE5C</vt:lpwstr>
  </property>
</Properties>
</file>