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custom.xml" ContentType="application/vnd.openxmlformats-officedocument.custom-properti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7C2B" w:rsidRPr="0023404D" w:rsidRDefault="00CB7C2B" w:rsidP="00F773CB">
      <w:pPr>
        <w:bidi/>
        <w:spacing w:before="240"/>
        <w:jc w:val="right"/>
        <w:rPr>
          <w:sz w:val="24"/>
          <w:szCs w:val="24"/>
          <w:rtl/>
        </w:rPr>
      </w:pPr>
      <w:bookmarkStart w:id="0" w:name="_GoBack"/>
      <w:bookmarkEnd w:id="0"/>
      <w:r w:rsidRPr="0023404D">
        <w:rPr>
          <w:rFonts w:hint="cs"/>
          <w:sz w:val="24"/>
          <w:szCs w:val="24"/>
          <w:rtl/>
        </w:rPr>
        <w:t xml:space="preserve">                                                                                              ירושלים: </w:t>
      </w:r>
      <w:r w:rsidRPr="0023404D">
        <w:rPr>
          <w:rFonts w:hint="cs"/>
          <w:sz w:val="24"/>
          <w:szCs w:val="24"/>
          <w:rtl/>
        </w:rPr>
        <w:tab/>
        <w:t>כ"ח אדר א' תשע"ט</w:t>
      </w:r>
    </w:p>
    <w:p w:rsidR="00CB7C2B" w:rsidRPr="0023404D" w:rsidRDefault="00CB7C2B" w:rsidP="0023404D">
      <w:pPr>
        <w:bidi/>
        <w:jc w:val="right"/>
        <w:rPr>
          <w:sz w:val="24"/>
          <w:szCs w:val="24"/>
        </w:rPr>
      </w:pPr>
      <w:r w:rsidRPr="0023404D">
        <w:rPr>
          <w:rFonts w:hint="cs"/>
          <w:sz w:val="24"/>
          <w:szCs w:val="24"/>
          <w:rtl/>
        </w:rPr>
        <w:tab/>
      </w:r>
      <w:r w:rsidRPr="0023404D">
        <w:rPr>
          <w:rFonts w:hint="cs"/>
          <w:sz w:val="24"/>
          <w:szCs w:val="24"/>
          <w:rtl/>
        </w:rPr>
        <w:tab/>
      </w:r>
      <w:r w:rsidRPr="0023404D">
        <w:rPr>
          <w:rFonts w:hint="cs"/>
          <w:sz w:val="24"/>
          <w:szCs w:val="24"/>
          <w:rtl/>
        </w:rPr>
        <w:tab/>
      </w:r>
      <w:r w:rsidRPr="0023404D">
        <w:rPr>
          <w:rFonts w:hint="cs"/>
          <w:sz w:val="24"/>
          <w:szCs w:val="24"/>
          <w:rtl/>
        </w:rPr>
        <w:tab/>
      </w:r>
      <w:r w:rsidRPr="0023404D">
        <w:rPr>
          <w:rFonts w:hint="cs"/>
          <w:sz w:val="24"/>
          <w:szCs w:val="24"/>
          <w:rtl/>
        </w:rPr>
        <w:tab/>
      </w:r>
      <w:r w:rsidRPr="0023404D">
        <w:rPr>
          <w:rFonts w:hint="cs"/>
          <w:sz w:val="24"/>
          <w:szCs w:val="24"/>
          <w:rtl/>
        </w:rPr>
        <w:tab/>
      </w:r>
      <w:r w:rsidRPr="0023404D">
        <w:rPr>
          <w:rFonts w:hint="cs"/>
          <w:sz w:val="24"/>
          <w:szCs w:val="24"/>
          <w:rtl/>
        </w:rPr>
        <w:tab/>
      </w:r>
      <w:r w:rsidRPr="0023404D">
        <w:rPr>
          <w:rFonts w:hint="cs"/>
          <w:sz w:val="24"/>
          <w:szCs w:val="24"/>
          <w:rtl/>
        </w:rPr>
        <w:tab/>
      </w:r>
      <w:r w:rsidRPr="0023404D">
        <w:rPr>
          <w:rFonts w:hint="cs"/>
          <w:sz w:val="24"/>
          <w:szCs w:val="24"/>
          <w:rtl/>
        </w:rPr>
        <w:tab/>
        <w:t>05 מרץ 2019</w:t>
      </w:r>
    </w:p>
    <w:p w:rsidR="00CB7C2B" w:rsidRPr="00B71707" w:rsidRDefault="00CB7C2B" w:rsidP="00B71707">
      <w:pPr>
        <w:pStyle w:val="1"/>
        <w:rPr>
          <w:rtl/>
        </w:rPr>
      </w:pPr>
      <w:r w:rsidRPr="00B71707">
        <w:rPr>
          <w:rtl/>
        </w:rPr>
        <w:fldChar w:fldCharType="begin"/>
      </w:r>
      <w:r w:rsidRPr="00B71707">
        <w:rPr>
          <w:rtl/>
        </w:rPr>
        <w:instrText xml:space="preserve"> </w:instrText>
      </w:r>
      <w:r w:rsidRPr="00B71707">
        <w:instrText>DOCPROPERTY  DocSubject  \* MERGEFORMAT</w:instrText>
      </w:r>
      <w:r w:rsidRPr="00B71707">
        <w:rPr>
          <w:rtl/>
        </w:rPr>
        <w:instrText xml:space="preserve"> </w:instrText>
      </w:r>
      <w:r w:rsidRPr="00B71707">
        <w:rPr>
          <w:rtl/>
        </w:rPr>
        <w:fldChar w:fldCharType="end"/>
      </w:r>
      <w:r w:rsidRPr="00B71707">
        <w:rPr>
          <w:rtl/>
        </w:rPr>
        <w:fldChar w:fldCharType="begin"/>
      </w:r>
      <w:r w:rsidRPr="00B71707">
        <w:rPr>
          <w:rtl/>
        </w:rPr>
        <w:instrText xml:space="preserve"> </w:instrText>
      </w:r>
      <w:r w:rsidRPr="00B71707">
        <w:instrText>DOCPROPERTY  DocSubject  \* MERGEFORMAT</w:instrText>
      </w:r>
      <w:r w:rsidRPr="00B71707">
        <w:rPr>
          <w:rtl/>
        </w:rPr>
        <w:instrText xml:space="preserve"> </w:instrText>
      </w:r>
      <w:r w:rsidRPr="00B71707">
        <w:rPr>
          <w:rtl/>
        </w:rPr>
        <w:fldChar w:fldCharType="end"/>
      </w:r>
      <w:r w:rsidRPr="00B71707">
        <w:rPr>
          <w:rtl/>
        </w:rPr>
        <w:fldChar w:fldCharType="begin"/>
      </w:r>
      <w:r w:rsidRPr="00B71707">
        <w:rPr>
          <w:rtl/>
        </w:rPr>
        <w:instrText xml:space="preserve"> </w:instrText>
      </w:r>
      <w:r w:rsidRPr="00B71707">
        <w:instrText>DOCPROPERTY  DocSubject  \* MERGEFORMAT</w:instrText>
      </w:r>
      <w:r w:rsidRPr="00B71707">
        <w:rPr>
          <w:rtl/>
        </w:rPr>
        <w:instrText xml:space="preserve"> </w:instrText>
      </w:r>
      <w:r w:rsidRPr="00B71707">
        <w:rPr>
          <w:rtl/>
        </w:rPr>
        <w:fldChar w:fldCharType="end"/>
      </w:r>
      <w:r w:rsidRPr="00B71707">
        <w:rPr>
          <w:rtl/>
        </w:rPr>
        <w:t xml:space="preserve">עמדת נציבות שוויון זכויות לאנשים עם מוגבלות </w:t>
      </w:r>
      <w:r w:rsidR="00B71707" w:rsidRPr="00B71707">
        <w:rPr>
          <w:rFonts w:hint="cs"/>
          <w:rtl/>
        </w:rPr>
        <w:br/>
      </w:r>
      <w:r w:rsidRPr="00B71707">
        <w:rPr>
          <w:rtl/>
        </w:rPr>
        <w:t>בעניין הגשת תובענות ייצוגיות בנושא נגישות דרכים</w:t>
      </w:r>
    </w:p>
    <w:p w:rsidR="00CB7C2B" w:rsidRPr="00B71707" w:rsidRDefault="00CB7C2B" w:rsidP="00B71707">
      <w:pPr>
        <w:bidi/>
        <w:spacing w:before="240" w:after="360" w:line="276" w:lineRule="auto"/>
        <w:jc w:val="both"/>
        <w:rPr>
          <w:rFonts w:asciiTheme="minorBidi" w:hAnsiTheme="minorBidi" w:cstheme="minorBidi"/>
          <w:sz w:val="24"/>
          <w:szCs w:val="24"/>
          <w:rtl/>
        </w:rPr>
      </w:pPr>
      <w:r w:rsidRPr="00B71707">
        <w:rPr>
          <w:rFonts w:asciiTheme="minorBidi" w:hAnsiTheme="minorBidi" w:cstheme="minorBidi"/>
          <w:sz w:val="24"/>
          <w:szCs w:val="24"/>
          <w:rtl/>
        </w:rPr>
        <w:t xml:space="preserve">נציבות שוויון זכויות לאנשים עם מוגבלות (להלן: </w:t>
      </w:r>
      <w:r w:rsidRPr="00B71707">
        <w:rPr>
          <w:rFonts w:asciiTheme="minorBidi" w:hAnsiTheme="minorBidi" w:cstheme="minorBidi"/>
          <w:b/>
          <w:bCs/>
          <w:sz w:val="24"/>
          <w:szCs w:val="24"/>
          <w:rtl/>
        </w:rPr>
        <w:t>הנציבות</w:t>
      </w:r>
      <w:r w:rsidRPr="00B71707">
        <w:rPr>
          <w:rFonts w:asciiTheme="minorBidi" w:hAnsiTheme="minorBidi" w:cstheme="minorBidi"/>
          <w:sz w:val="24"/>
          <w:szCs w:val="24"/>
          <w:rtl/>
        </w:rPr>
        <w:t>)</w:t>
      </w:r>
      <w:r w:rsidRPr="00B71707">
        <w:rPr>
          <w:rFonts w:asciiTheme="minorBidi" w:hAnsiTheme="minorBidi" w:cstheme="minorBidi"/>
          <w:b/>
          <w:bCs/>
          <w:sz w:val="24"/>
          <w:szCs w:val="24"/>
          <w:rtl/>
        </w:rPr>
        <w:t xml:space="preserve"> </w:t>
      </w:r>
      <w:r w:rsidRPr="00B71707">
        <w:rPr>
          <w:rFonts w:asciiTheme="minorBidi" w:hAnsiTheme="minorBidi" w:cstheme="minorBidi"/>
          <w:sz w:val="24"/>
          <w:szCs w:val="24"/>
          <w:rtl/>
        </w:rPr>
        <w:t xml:space="preserve">הוקמה מכוח </w:t>
      </w:r>
      <w:r w:rsidRPr="00B71707">
        <w:rPr>
          <w:rFonts w:asciiTheme="minorBidi" w:hAnsiTheme="minorBidi" w:cstheme="minorBidi"/>
          <w:b/>
          <w:bCs/>
          <w:sz w:val="24"/>
          <w:szCs w:val="24"/>
          <w:rtl/>
        </w:rPr>
        <w:t xml:space="preserve">חוק שוויון זכויות לאנשים עם מוגבלות, </w:t>
      </w:r>
      <w:proofErr w:type="spellStart"/>
      <w:r w:rsidRPr="00B71707">
        <w:rPr>
          <w:rFonts w:asciiTheme="minorBidi" w:hAnsiTheme="minorBidi" w:cstheme="minorBidi"/>
          <w:b/>
          <w:bCs/>
          <w:sz w:val="24"/>
          <w:szCs w:val="24"/>
          <w:rtl/>
        </w:rPr>
        <w:t>התשנ"ח</w:t>
      </w:r>
      <w:proofErr w:type="spellEnd"/>
      <w:r w:rsidRPr="00B71707">
        <w:rPr>
          <w:rFonts w:asciiTheme="minorBidi" w:hAnsiTheme="minorBidi" w:cstheme="minorBidi"/>
          <w:b/>
          <w:bCs/>
          <w:sz w:val="24"/>
          <w:szCs w:val="24"/>
          <w:rtl/>
        </w:rPr>
        <w:t xml:space="preserve">–1998 </w:t>
      </w:r>
      <w:r w:rsidRPr="00B71707">
        <w:rPr>
          <w:rFonts w:asciiTheme="minorBidi" w:hAnsiTheme="minorBidi" w:cstheme="minorBidi"/>
          <w:sz w:val="24"/>
          <w:szCs w:val="24"/>
          <w:rtl/>
        </w:rPr>
        <w:t xml:space="preserve">(להלן: </w:t>
      </w:r>
      <w:r w:rsidRPr="00B71707">
        <w:rPr>
          <w:rFonts w:asciiTheme="minorBidi" w:hAnsiTheme="minorBidi" w:cstheme="minorBidi"/>
          <w:b/>
          <w:bCs/>
          <w:sz w:val="24"/>
          <w:szCs w:val="24"/>
          <w:rtl/>
        </w:rPr>
        <w:t>חוק השוויון</w:t>
      </w:r>
      <w:r w:rsidRPr="00B71707">
        <w:rPr>
          <w:rFonts w:asciiTheme="minorBidi" w:hAnsiTheme="minorBidi" w:cstheme="minorBidi"/>
          <w:sz w:val="24"/>
          <w:szCs w:val="24"/>
          <w:rtl/>
        </w:rPr>
        <w:t>). מטרת החוק היא לעגן את זכותם של אנשים עם מוגבלות להשתתפות שוויונית ופעילה בחברה ולספק מענה הולם לצרכיהם המיוחדים באופן שיאפשר להם לחיות את חייהם בכבוד, בביטחון ובעצמאות. החוק קובע את העיקרון לפיו אדם עם מוגבלות זכאי ליהנות מן המרחב הציבורי ומהשירותים הניתנים לציבור באופן שווה ביחס לאנשים שאינם עם מוגבלות.</w:t>
      </w:r>
    </w:p>
    <w:p w:rsidR="00CB7C2B" w:rsidRPr="00B71707" w:rsidRDefault="00CB7C2B" w:rsidP="00B71707">
      <w:pPr>
        <w:bidi/>
        <w:spacing w:before="240" w:after="360" w:line="276" w:lineRule="auto"/>
        <w:jc w:val="both"/>
        <w:rPr>
          <w:rFonts w:asciiTheme="minorBidi" w:hAnsiTheme="minorBidi" w:cstheme="minorBidi"/>
          <w:sz w:val="24"/>
          <w:szCs w:val="24"/>
          <w:rtl/>
        </w:rPr>
      </w:pPr>
      <w:r w:rsidRPr="00B71707">
        <w:rPr>
          <w:rFonts w:asciiTheme="minorBidi" w:hAnsiTheme="minorBidi" w:cstheme="minorBidi"/>
          <w:sz w:val="24"/>
          <w:szCs w:val="24"/>
          <w:rtl/>
        </w:rPr>
        <w:t xml:space="preserve">להלן עמדת הנציבות בעניין המצב המשפטי הנכון כיום באשר להגשת תובענות ייצוגיות נגד רשויות מקומיות, שלכאורה אינן פועלות </w:t>
      </w:r>
      <w:proofErr w:type="spellStart"/>
      <w:r w:rsidRPr="00B71707">
        <w:rPr>
          <w:rFonts w:asciiTheme="minorBidi" w:hAnsiTheme="minorBidi" w:cstheme="minorBidi"/>
          <w:sz w:val="24"/>
          <w:szCs w:val="24"/>
          <w:rtl/>
        </w:rPr>
        <w:t>להנגשת</w:t>
      </w:r>
      <w:proofErr w:type="spellEnd"/>
      <w:r w:rsidRPr="00B71707">
        <w:rPr>
          <w:rFonts w:asciiTheme="minorBidi" w:hAnsiTheme="minorBidi" w:cstheme="minorBidi"/>
          <w:sz w:val="24"/>
          <w:szCs w:val="24"/>
          <w:rtl/>
        </w:rPr>
        <w:t xml:space="preserve"> דרכים בשטח שיפוטן.</w:t>
      </w:r>
    </w:p>
    <w:p w:rsidR="00CB7C2B" w:rsidRPr="00F773CB" w:rsidRDefault="00CB7C2B" w:rsidP="00F773CB">
      <w:pPr>
        <w:pStyle w:val="2"/>
        <w:rPr>
          <w:rtl/>
        </w:rPr>
      </w:pPr>
      <w:r w:rsidRPr="00F773CB">
        <w:rPr>
          <w:rtl/>
        </w:rPr>
        <w:t>רקע – הגשת תובענה ייצוגית</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b/>
          <w:bCs/>
          <w:sz w:val="24"/>
          <w:szCs w:val="24"/>
          <w:rtl/>
        </w:rPr>
        <w:t>חוק תובענות ייצוגיות, תשס"ו-2006</w:t>
      </w:r>
      <w:r w:rsidRPr="00B71707">
        <w:rPr>
          <w:rFonts w:asciiTheme="minorBidi" w:hAnsiTheme="minorBidi" w:cstheme="minorBidi"/>
          <w:sz w:val="24"/>
          <w:szCs w:val="24"/>
          <w:rtl/>
        </w:rPr>
        <w:t xml:space="preserve"> (להלן: חוק תובענות ייצוגיות) קובע בסעיף 3 כי תובענה ייצוגית יכול שתוגש רק באחת העילות המפורטות בתוספת </w:t>
      </w:r>
      <w:proofErr w:type="spellStart"/>
      <w:r w:rsidRPr="00B71707">
        <w:rPr>
          <w:rFonts w:asciiTheme="minorBidi" w:hAnsiTheme="minorBidi" w:cstheme="minorBidi"/>
          <w:sz w:val="24"/>
          <w:szCs w:val="24"/>
          <w:rtl/>
        </w:rPr>
        <w:t>השניה</w:t>
      </w:r>
      <w:proofErr w:type="spellEnd"/>
      <w:r w:rsidRPr="00B71707">
        <w:rPr>
          <w:rFonts w:asciiTheme="minorBidi" w:hAnsiTheme="minorBidi" w:cstheme="minorBidi"/>
          <w:sz w:val="24"/>
          <w:szCs w:val="24"/>
          <w:rtl/>
        </w:rPr>
        <w:t>, או בעניין שנקבע בהוראת חוק מפורשת כי ניתן להגיש בו תובענה ייצוגית.</w:t>
      </w:r>
    </w:p>
    <w:p w:rsidR="00CB7C2B" w:rsidRPr="00B71707" w:rsidRDefault="00CB7C2B" w:rsidP="00B71707">
      <w:pPr>
        <w:bidi/>
        <w:spacing w:before="240" w:after="360" w:line="276" w:lineRule="auto"/>
        <w:ind w:left="360"/>
        <w:jc w:val="both"/>
        <w:rPr>
          <w:rFonts w:asciiTheme="minorBidi" w:hAnsiTheme="minorBidi" w:cstheme="minorBidi"/>
          <w:sz w:val="24"/>
          <w:szCs w:val="24"/>
          <w:rtl/>
        </w:rPr>
      </w:pPr>
      <w:r w:rsidRPr="00B71707">
        <w:rPr>
          <w:rFonts w:asciiTheme="minorBidi" w:hAnsiTheme="minorBidi" w:cstheme="minorBidi"/>
          <w:sz w:val="24"/>
          <w:szCs w:val="24"/>
          <w:rtl/>
        </w:rPr>
        <w:t xml:space="preserve">תנאי זה הוא המשוכה הראשונה שעל התובע הייצוגי לעבור והוא תנאי בלתו אין. היה וימצא כי החוקים הרלוונטיים אינם חלים על פעולות או מחדלי הרשות המקומית, לא יהיה מקום לברר את הטענות נגדה במסגרת הליך ייצוגי. </w:t>
      </w:r>
    </w:p>
    <w:p w:rsidR="00CB7C2B" w:rsidRPr="00B71707" w:rsidRDefault="00CB7C2B" w:rsidP="00B71707">
      <w:pPr>
        <w:bidi/>
        <w:spacing w:before="240" w:after="360" w:line="276" w:lineRule="auto"/>
        <w:ind w:left="360"/>
        <w:jc w:val="both"/>
        <w:rPr>
          <w:rFonts w:asciiTheme="minorBidi" w:hAnsiTheme="minorBidi" w:cstheme="minorBidi"/>
          <w:sz w:val="24"/>
          <w:szCs w:val="24"/>
          <w:rtl/>
        </w:rPr>
      </w:pPr>
      <w:r w:rsidRPr="00B71707">
        <w:rPr>
          <w:rFonts w:asciiTheme="minorBidi" w:hAnsiTheme="minorBidi" w:cstheme="minorBidi"/>
          <w:b/>
          <w:bCs/>
          <w:sz w:val="24"/>
          <w:szCs w:val="24"/>
          <w:rtl/>
        </w:rPr>
        <w:t xml:space="preserve">"מאז קבלת החוק הורחבה במעט רשימת העניינים בהם ניתן להגיש תובענה ייצוגית, אך ההכרעה הבסיסית שהיא משקפת </w:t>
      </w:r>
      <w:proofErr w:type="spellStart"/>
      <w:r w:rsidRPr="00B71707">
        <w:rPr>
          <w:rFonts w:asciiTheme="minorBidi" w:hAnsiTheme="minorBidi" w:cstheme="minorBidi"/>
          <w:b/>
          <w:bCs/>
          <w:sz w:val="24"/>
          <w:szCs w:val="24"/>
          <w:rtl/>
        </w:rPr>
        <w:t>הריהי</w:t>
      </w:r>
      <w:proofErr w:type="spellEnd"/>
      <w:r w:rsidRPr="00B71707">
        <w:rPr>
          <w:rFonts w:asciiTheme="minorBidi" w:hAnsiTheme="minorBidi" w:cstheme="minorBidi"/>
          <w:b/>
          <w:bCs/>
          <w:sz w:val="24"/>
          <w:szCs w:val="24"/>
          <w:rtl/>
        </w:rPr>
        <w:t>, שלא בכל עניין ניתן להגיש תובענה ייצוגית, ומה שלא הותר במפורש אסור"</w:t>
      </w:r>
      <w:r w:rsidRPr="00B71707">
        <w:rPr>
          <w:rFonts w:asciiTheme="minorBidi" w:hAnsiTheme="minorBidi" w:cstheme="minorBidi"/>
          <w:sz w:val="24"/>
          <w:szCs w:val="24"/>
          <w:rtl/>
        </w:rPr>
        <w:t xml:space="preserve"> (ר' פסקה כ-כ"א לפסק דינו של כב' </w:t>
      </w:r>
      <w:proofErr w:type="spellStart"/>
      <w:r w:rsidRPr="00B71707">
        <w:rPr>
          <w:rFonts w:asciiTheme="minorBidi" w:hAnsiTheme="minorBidi" w:cstheme="minorBidi"/>
          <w:sz w:val="24"/>
          <w:szCs w:val="24"/>
          <w:rtl/>
        </w:rPr>
        <w:t>הש</w:t>
      </w:r>
      <w:proofErr w:type="spellEnd"/>
      <w:r w:rsidRPr="00B71707">
        <w:rPr>
          <w:rFonts w:asciiTheme="minorBidi" w:hAnsiTheme="minorBidi" w:cstheme="minorBidi"/>
          <w:sz w:val="24"/>
          <w:szCs w:val="24"/>
          <w:rtl/>
        </w:rPr>
        <w:t xml:space="preserve">' רובינשטיין, רע"א 2598/08 </w:t>
      </w:r>
      <w:r w:rsidRPr="00B71707">
        <w:rPr>
          <w:rFonts w:asciiTheme="minorBidi" w:hAnsiTheme="minorBidi" w:cstheme="minorBidi"/>
          <w:b/>
          <w:bCs/>
          <w:sz w:val="24"/>
          <w:szCs w:val="24"/>
          <w:rtl/>
        </w:rPr>
        <w:t>בנק יהב לעובדי מדינה בע"מ ואח' נ' ליאור שפירא ואח'</w:t>
      </w:r>
      <w:r w:rsidRPr="00B71707">
        <w:rPr>
          <w:rFonts w:asciiTheme="minorBidi" w:hAnsiTheme="minorBidi" w:cstheme="minorBidi"/>
          <w:sz w:val="24"/>
          <w:szCs w:val="24"/>
          <w:rtl/>
        </w:rPr>
        <w:t>, ניתן ביום 23.11.2010, פורסם במאגרים האלקטרוניים).</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b/>
          <w:bCs/>
          <w:sz w:val="24"/>
          <w:szCs w:val="24"/>
          <w:rtl/>
        </w:rPr>
        <w:t>חוק הרשויות המקומיות (סידורים לנכים), תשמ"ח-1988</w:t>
      </w:r>
      <w:r w:rsidRPr="00B71707">
        <w:rPr>
          <w:rFonts w:asciiTheme="minorBidi" w:hAnsiTheme="minorBidi" w:cstheme="minorBidi"/>
          <w:sz w:val="24"/>
          <w:szCs w:val="24"/>
          <w:rtl/>
        </w:rPr>
        <w:t xml:space="preserve"> אינו מנוי בתוספת השנייה לחוק תובענות ייצוגיות ואף  לא מצוין בהוראת חוק כלשהי כי ניתן להגיש בו תובענה ייצוגית. על כן פעולה או מחדל לפי חוק זה אינם יכולים להוות עילה להגשת תובענה ייצוגית.</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סוגי תובענות ייצוגיות שניתן להגיש בעניין זכויות אנשים עם מוגבלות מצויים בפרט 9 לתוספת השנייה לחוק תובענות ייצוגיות, המונה שלושה ראשים:</w:t>
      </w:r>
    </w:p>
    <w:p w:rsidR="00CB7C2B" w:rsidRPr="00B71707" w:rsidRDefault="00CB7C2B" w:rsidP="00542E19">
      <w:pPr>
        <w:numPr>
          <w:ilvl w:val="1"/>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b/>
          <w:bCs/>
          <w:sz w:val="24"/>
          <w:szCs w:val="24"/>
          <w:rtl/>
        </w:rPr>
        <w:t>תביעה בעילה לפי פרקים ד', ה' או ה'1 לחוק  השוויון</w:t>
      </w:r>
      <w:r w:rsidRPr="00B71707">
        <w:rPr>
          <w:rFonts w:asciiTheme="minorBidi" w:hAnsiTheme="minorBidi" w:cstheme="minorBidi"/>
          <w:sz w:val="24"/>
          <w:szCs w:val="24"/>
          <w:rtl/>
        </w:rPr>
        <w:t>.</w:t>
      </w:r>
    </w:p>
    <w:p w:rsidR="00CB7C2B" w:rsidRPr="00B71707" w:rsidRDefault="00CB7C2B" w:rsidP="00B71707">
      <w:pPr>
        <w:bidi/>
        <w:spacing w:before="240" w:after="360" w:line="276" w:lineRule="auto"/>
        <w:ind w:left="1080"/>
        <w:jc w:val="both"/>
        <w:rPr>
          <w:rFonts w:asciiTheme="minorBidi" w:hAnsiTheme="minorBidi" w:cstheme="minorBidi"/>
          <w:sz w:val="24"/>
          <w:szCs w:val="24"/>
          <w:rtl/>
        </w:rPr>
      </w:pPr>
      <w:r w:rsidRPr="00B71707">
        <w:rPr>
          <w:rFonts w:asciiTheme="minorBidi" w:hAnsiTheme="minorBidi" w:cstheme="minorBidi"/>
          <w:sz w:val="24"/>
          <w:szCs w:val="24"/>
          <w:rtl/>
        </w:rPr>
        <w:t>בענייננו, פרק ד' לחוק השוויון, המקיף את תחום התעסוקה לאנשים עם מוגבלות, אינו יכול להוות עילה לתובענה ייצוגית שעניינה נגישות מעברי חציה וסביבת הרחוב.</w:t>
      </w:r>
    </w:p>
    <w:p w:rsidR="00CB7C2B" w:rsidRPr="00B71707" w:rsidRDefault="00CB7C2B" w:rsidP="00B71707">
      <w:pPr>
        <w:bidi/>
        <w:spacing w:before="240" w:after="360" w:line="276" w:lineRule="auto"/>
        <w:ind w:left="1080"/>
        <w:jc w:val="both"/>
        <w:rPr>
          <w:rFonts w:asciiTheme="minorBidi" w:hAnsiTheme="minorBidi" w:cstheme="minorBidi"/>
          <w:sz w:val="24"/>
          <w:szCs w:val="24"/>
          <w:rtl/>
        </w:rPr>
      </w:pPr>
      <w:r w:rsidRPr="00B71707">
        <w:rPr>
          <w:rFonts w:asciiTheme="minorBidi" w:hAnsiTheme="minorBidi" w:cstheme="minorBidi"/>
          <w:sz w:val="24"/>
          <w:szCs w:val="24"/>
          <w:rtl/>
        </w:rPr>
        <w:lastRenderedPageBreak/>
        <w:t xml:space="preserve">אשר לפרק ה', העוסק בשירותי תחבורה ציבורית, עמדת הנציבות היא שאכן יש חובה להנגיש את סביבת תחנת האוטובוס, לרבות מדרכה ומעבר חציה הסמוכים לה, מכוח פרק זה (עמדת הנציבות בנושא זה הוגשה, לדוגמא, </w:t>
      </w:r>
      <w:proofErr w:type="spellStart"/>
      <w:r w:rsidRPr="00B71707">
        <w:rPr>
          <w:rFonts w:asciiTheme="minorBidi" w:hAnsiTheme="minorBidi" w:cstheme="minorBidi"/>
          <w:sz w:val="24"/>
          <w:szCs w:val="24"/>
          <w:rtl/>
        </w:rPr>
        <w:t>בת"מ</w:t>
      </w:r>
      <w:proofErr w:type="spellEnd"/>
      <w:r w:rsidRPr="00B71707">
        <w:rPr>
          <w:rFonts w:asciiTheme="minorBidi" w:hAnsiTheme="minorBidi" w:cstheme="minorBidi"/>
          <w:sz w:val="24"/>
          <w:szCs w:val="24"/>
          <w:rtl/>
        </w:rPr>
        <w:t xml:space="preserve"> 14440-06-12 </w:t>
      </w:r>
      <w:r w:rsidRPr="00B71707">
        <w:rPr>
          <w:rFonts w:asciiTheme="minorBidi" w:hAnsiTheme="minorBidi" w:cstheme="minorBidi"/>
          <w:b/>
          <w:bCs/>
          <w:sz w:val="24"/>
          <w:szCs w:val="24"/>
          <w:rtl/>
        </w:rPr>
        <w:t xml:space="preserve">מאיר </w:t>
      </w:r>
      <w:proofErr w:type="spellStart"/>
      <w:r w:rsidRPr="00B71707">
        <w:rPr>
          <w:rFonts w:asciiTheme="minorBidi" w:hAnsiTheme="minorBidi" w:cstheme="minorBidi"/>
          <w:b/>
          <w:bCs/>
          <w:sz w:val="24"/>
          <w:szCs w:val="24"/>
          <w:rtl/>
        </w:rPr>
        <w:t>קלור</w:t>
      </w:r>
      <w:proofErr w:type="spellEnd"/>
      <w:r w:rsidRPr="00B71707">
        <w:rPr>
          <w:rFonts w:asciiTheme="minorBidi" w:hAnsiTheme="minorBidi" w:cstheme="minorBidi"/>
          <w:b/>
          <w:bCs/>
          <w:sz w:val="24"/>
          <w:szCs w:val="24"/>
          <w:rtl/>
        </w:rPr>
        <w:t xml:space="preserve"> ז"ל ואח' נ' עיריית חיפה</w:t>
      </w:r>
      <w:r w:rsidRPr="00B71707">
        <w:rPr>
          <w:rFonts w:asciiTheme="minorBidi" w:hAnsiTheme="minorBidi" w:cstheme="minorBidi"/>
          <w:sz w:val="24"/>
          <w:szCs w:val="24"/>
          <w:rtl/>
        </w:rPr>
        <w:t xml:space="preserve">). </w:t>
      </w:r>
    </w:p>
    <w:p w:rsidR="00CB7C2B" w:rsidRPr="00B71707" w:rsidRDefault="00CB7C2B" w:rsidP="00431CC1">
      <w:pPr>
        <w:bidi/>
        <w:spacing w:before="240" w:after="360" w:line="276" w:lineRule="auto"/>
        <w:ind w:left="1080"/>
        <w:jc w:val="both"/>
        <w:rPr>
          <w:rFonts w:asciiTheme="minorBidi" w:hAnsiTheme="minorBidi" w:cstheme="minorBidi"/>
          <w:sz w:val="24"/>
          <w:szCs w:val="24"/>
        </w:rPr>
      </w:pPr>
      <w:r w:rsidRPr="00B71707">
        <w:rPr>
          <w:rFonts w:asciiTheme="minorBidi" w:hAnsiTheme="minorBidi" w:cstheme="minorBidi"/>
          <w:sz w:val="24"/>
          <w:szCs w:val="24"/>
          <w:rtl/>
        </w:rPr>
        <w:t xml:space="preserve">עם זאת, עניינה של חוות דעת זו הוא </w:t>
      </w:r>
      <w:r w:rsidRPr="00B71707">
        <w:rPr>
          <w:rFonts w:asciiTheme="minorBidi" w:hAnsiTheme="minorBidi" w:cstheme="minorBidi"/>
          <w:b/>
          <w:bCs/>
          <w:sz w:val="24"/>
          <w:szCs w:val="24"/>
          <w:rtl/>
        </w:rPr>
        <w:t>חובת</w:t>
      </w:r>
      <w:r w:rsidRPr="00B71707">
        <w:rPr>
          <w:rFonts w:asciiTheme="minorBidi" w:hAnsiTheme="minorBidi" w:cstheme="minorBidi"/>
          <w:sz w:val="24"/>
          <w:szCs w:val="24"/>
          <w:rtl/>
        </w:rPr>
        <w:t xml:space="preserve"> </w:t>
      </w:r>
      <w:r w:rsidRPr="00B71707">
        <w:rPr>
          <w:rFonts w:asciiTheme="minorBidi" w:hAnsiTheme="minorBidi" w:cstheme="minorBidi"/>
          <w:b/>
          <w:bCs/>
          <w:sz w:val="24"/>
          <w:szCs w:val="24"/>
          <w:rtl/>
        </w:rPr>
        <w:t>הנגשה כללית של דרכים בשטחי הרשות המקומית</w:t>
      </w:r>
      <w:r w:rsidRPr="00B71707">
        <w:rPr>
          <w:rFonts w:asciiTheme="minorBidi" w:hAnsiTheme="minorBidi" w:cstheme="minorBidi"/>
          <w:sz w:val="24"/>
          <w:szCs w:val="24"/>
          <w:rtl/>
        </w:rPr>
        <w:t>, ואותה יש לבחון לפי פרק ה'1 (מקום ציבורי ושירות ציבורי). נתייחס לכך בהמשך הסקירה.</w:t>
      </w:r>
    </w:p>
    <w:p w:rsidR="00CB7C2B" w:rsidRPr="00B71707" w:rsidRDefault="00CB7C2B" w:rsidP="00B71707">
      <w:pPr>
        <w:numPr>
          <w:ilvl w:val="1"/>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 xml:space="preserve">תביעה בעילה לפי הוראות הנגישות לפי </w:t>
      </w:r>
      <w:r w:rsidRPr="00B71707">
        <w:rPr>
          <w:rFonts w:asciiTheme="minorBidi" w:hAnsiTheme="minorBidi" w:cstheme="minorBidi"/>
          <w:b/>
          <w:bCs/>
          <w:sz w:val="24"/>
          <w:szCs w:val="24"/>
          <w:rtl/>
        </w:rPr>
        <w:t xml:space="preserve">חוק התכנון והבניה, התשכ"ה-1965 </w:t>
      </w:r>
      <w:r w:rsidRPr="00B71707">
        <w:rPr>
          <w:rFonts w:asciiTheme="minorBidi" w:hAnsiTheme="minorBidi" w:cstheme="minorBidi"/>
          <w:sz w:val="24"/>
          <w:szCs w:val="24"/>
          <w:rtl/>
        </w:rPr>
        <w:t>(להלן: חוק התכנון והבניה), כהגדרתן בסעיף 19א לחוק שוויון זכויות לאנשים עם מוגבלות.</w:t>
      </w:r>
      <w:r w:rsidRPr="00B71707">
        <w:rPr>
          <w:rFonts w:asciiTheme="minorBidi" w:hAnsiTheme="minorBidi" w:cstheme="minorBidi"/>
          <w:b/>
          <w:bCs/>
          <w:sz w:val="24"/>
          <w:szCs w:val="24"/>
          <w:rtl/>
        </w:rPr>
        <w:t xml:space="preserve"> </w:t>
      </w:r>
      <w:r w:rsidRPr="00B71707">
        <w:rPr>
          <w:rFonts w:asciiTheme="minorBidi" w:hAnsiTheme="minorBidi" w:cstheme="minorBidi"/>
          <w:sz w:val="24"/>
          <w:szCs w:val="24"/>
          <w:rtl/>
        </w:rPr>
        <w:t>סעיף 19א לחוק השוויון מפנה להוראות הנגישות לפי חוק התכנון והבניה לפי סעיף 158א לחוק התכנון והבניה, אשר עוסק בחובת התקנות מעליות וגנרטורים; לפי פרק ה'1א לחוק התכנון והבניה, אשר עוסק בבניינים חדשים; ובמוסדות חינוך וגני ילדים. כל אלה אינם רלוונטיים לענייננו.</w:t>
      </w:r>
    </w:p>
    <w:p w:rsidR="00CB7C2B" w:rsidRPr="00B71707" w:rsidRDefault="00CB7C2B" w:rsidP="00B71707">
      <w:pPr>
        <w:numPr>
          <w:ilvl w:val="1"/>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 xml:space="preserve">תביעה בעילה לפי הוראות </w:t>
      </w:r>
      <w:r w:rsidRPr="00B71707">
        <w:rPr>
          <w:rFonts w:asciiTheme="minorBidi" w:hAnsiTheme="minorBidi" w:cstheme="minorBidi"/>
          <w:b/>
          <w:bCs/>
          <w:sz w:val="24"/>
          <w:szCs w:val="24"/>
          <w:rtl/>
        </w:rPr>
        <w:t>חוק שידורי טלוויזיה (כתוביות ושפת סימנים), התשס"ה-2005</w:t>
      </w:r>
      <w:r w:rsidRPr="00B71707">
        <w:rPr>
          <w:rFonts w:asciiTheme="minorBidi" w:hAnsiTheme="minorBidi" w:cstheme="minorBidi"/>
          <w:sz w:val="24"/>
          <w:szCs w:val="24"/>
          <w:rtl/>
        </w:rPr>
        <w:t>, אשר אף הוא אינו רלוונטי לענייננו.</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tl/>
        </w:rPr>
      </w:pPr>
      <w:r w:rsidRPr="00B71707">
        <w:rPr>
          <w:rFonts w:asciiTheme="minorBidi" w:hAnsiTheme="minorBidi" w:cstheme="minorBidi"/>
          <w:sz w:val="24"/>
          <w:szCs w:val="24"/>
          <w:rtl/>
        </w:rPr>
        <w:t xml:space="preserve">למען הסר ספק נציין את סימן ב' לפרק ה1, שכותרתו </w:t>
      </w:r>
      <w:r w:rsidRPr="00B71707">
        <w:rPr>
          <w:rFonts w:asciiTheme="minorBidi" w:hAnsiTheme="minorBidi" w:cstheme="minorBidi"/>
          <w:b/>
          <w:bCs/>
          <w:sz w:val="24"/>
          <w:szCs w:val="24"/>
          <w:rtl/>
        </w:rPr>
        <w:t>איסור הפליה בשירות ציבורי, במקום ציבורי ובמוצרים</w:t>
      </w:r>
      <w:r w:rsidRPr="00B71707">
        <w:rPr>
          <w:rFonts w:asciiTheme="minorBidi" w:hAnsiTheme="minorBidi" w:cstheme="minorBidi"/>
          <w:sz w:val="24"/>
          <w:szCs w:val="24"/>
          <w:rtl/>
        </w:rPr>
        <w:t>. יובהר כי חרף איסור ההפליה במקום ציבורי ובשירות, הקבוע בסעיף 19ו, נקבע מפורשות כי אין בסימן זה כדי להקים חובה לבצע התאמות נגישות (סעיף 19ו(ד)). לפיכך ברי כי אינו יכול לשמש עילה לתובענה ייצוגית בגין אי ביצוע התאמות נגישות.</w:t>
      </w:r>
    </w:p>
    <w:p w:rsidR="00CB7C2B" w:rsidRPr="00B71707" w:rsidRDefault="00CB7C2B" w:rsidP="00F773CB">
      <w:pPr>
        <w:pStyle w:val="2"/>
      </w:pPr>
      <w:r w:rsidRPr="00B71707">
        <w:rPr>
          <w:rtl/>
        </w:rPr>
        <w:t>תביעה בעילה לפי פרק ה'1 לחוק השוויון</w:t>
      </w:r>
    </w:p>
    <w:p w:rsidR="00CB7C2B" w:rsidRPr="00B71707" w:rsidRDefault="00CB7C2B" w:rsidP="00542E19">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 xml:space="preserve">בשל חשיבותה הקריטית של הנגשת דרכים, חוקק בחוק השוויון תחת פרק ה'1 </w:t>
      </w:r>
      <w:r w:rsidRPr="00B71707">
        <w:rPr>
          <w:rFonts w:asciiTheme="minorBidi" w:hAnsiTheme="minorBidi" w:cstheme="minorBidi"/>
          <w:b/>
          <w:bCs/>
          <w:sz w:val="24"/>
          <w:szCs w:val="24"/>
          <w:rtl/>
        </w:rPr>
        <w:t>סימן ט': דרכים – נגישות</w:t>
      </w:r>
      <w:r w:rsidRPr="00B71707">
        <w:rPr>
          <w:rFonts w:asciiTheme="minorBidi" w:hAnsiTheme="minorBidi" w:cstheme="minorBidi"/>
          <w:sz w:val="24"/>
          <w:szCs w:val="24"/>
          <w:rtl/>
        </w:rPr>
        <w:t>, אשר מסדיר בסעיף 19לט באופן מפורש ומפורט את חובת הרשות המקומית לבצע התאמות נגישות לדרכים שבתחום שיפוטה. הסעיף מתייחס לצמתים, מדרכות, מקומות חניה, הסרת מפגעים ומכשולים והתקנת רמזורים מותאמים לאנשים עם מוגבלות.</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 xml:space="preserve">ייחודו של נושא הנגשת הדרכים בא לידי ביטוי גם בעובדה שסימן ט' הוחרג באופן מפורש מסעיף 19ט, שכותרתו "תקנות נגישות לעניין מקום ציבורי" בהתאם לסעיף 19ט(ט) הקובע: "סעיף זה לא יחול לגבי מקום ציבורי שחל עליו סימן ו', סימן ז', או סימן ט'." </w:t>
      </w:r>
    </w:p>
    <w:p w:rsidR="00CB7C2B" w:rsidRPr="00B71707" w:rsidRDefault="00CB7C2B" w:rsidP="00B71707">
      <w:pPr>
        <w:bidi/>
        <w:spacing w:before="240" w:after="360" w:line="276" w:lineRule="auto"/>
        <w:ind w:left="360"/>
        <w:jc w:val="both"/>
        <w:rPr>
          <w:rFonts w:asciiTheme="minorBidi" w:hAnsiTheme="minorBidi" w:cstheme="minorBidi"/>
          <w:sz w:val="24"/>
          <w:szCs w:val="24"/>
        </w:rPr>
      </w:pPr>
      <w:r w:rsidRPr="00B71707">
        <w:rPr>
          <w:rFonts w:asciiTheme="minorBidi" w:hAnsiTheme="minorBidi" w:cstheme="minorBidi"/>
          <w:sz w:val="24"/>
          <w:szCs w:val="24"/>
          <w:rtl/>
        </w:rPr>
        <w:t xml:space="preserve">עמדת הנציבות היא כי סעיף 19ט מתייחס </w:t>
      </w:r>
      <w:proofErr w:type="spellStart"/>
      <w:r w:rsidRPr="00B71707">
        <w:rPr>
          <w:rFonts w:asciiTheme="minorBidi" w:hAnsiTheme="minorBidi" w:cstheme="minorBidi"/>
          <w:sz w:val="24"/>
          <w:szCs w:val="24"/>
          <w:rtl/>
        </w:rPr>
        <w:t>להנגשת</w:t>
      </w:r>
      <w:proofErr w:type="spellEnd"/>
      <w:r w:rsidRPr="00B71707">
        <w:rPr>
          <w:rFonts w:asciiTheme="minorBidi" w:hAnsiTheme="minorBidi" w:cstheme="minorBidi"/>
          <w:sz w:val="24"/>
          <w:szCs w:val="24"/>
          <w:rtl/>
        </w:rPr>
        <w:t xml:space="preserve"> צמתים, מדרכות, גשרים, מנהרות ומעברים אחרים </w:t>
      </w:r>
      <w:r w:rsidRPr="00B71707">
        <w:rPr>
          <w:rFonts w:asciiTheme="minorBidi" w:hAnsiTheme="minorBidi" w:cstheme="minorBidi"/>
          <w:b/>
          <w:bCs/>
          <w:sz w:val="24"/>
          <w:szCs w:val="24"/>
          <w:rtl/>
        </w:rPr>
        <w:t>בשטח מקומות ציבוריים</w:t>
      </w:r>
      <w:r w:rsidRPr="00B71707">
        <w:rPr>
          <w:rFonts w:asciiTheme="minorBidi" w:hAnsiTheme="minorBidi" w:cstheme="minorBidi"/>
          <w:sz w:val="24"/>
          <w:szCs w:val="24"/>
          <w:rtl/>
        </w:rPr>
        <w:t xml:space="preserve"> </w:t>
      </w:r>
      <w:r w:rsidRPr="00B71707">
        <w:rPr>
          <w:rFonts w:asciiTheme="minorBidi" w:hAnsiTheme="minorBidi" w:cstheme="minorBidi"/>
          <w:b/>
          <w:bCs/>
          <w:sz w:val="24"/>
          <w:szCs w:val="24"/>
          <w:rtl/>
        </w:rPr>
        <w:t>קיימים ומקומות ציבוריים שאינם בניינים</w:t>
      </w:r>
      <w:r w:rsidRPr="00B71707">
        <w:rPr>
          <w:rFonts w:asciiTheme="minorBidi" w:hAnsiTheme="minorBidi" w:cstheme="minorBidi"/>
          <w:sz w:val="24"/>
          <w:szCs w:val="24"/>
          <w:rtl/>
        </w:rPr>
        <w:t>, שהוקמו לאחר המועד הקובע (מועד התקנת התקנות שיתקין שר המשפטים לפי סעיף 19לט), כלומר הכוונה היא ל</w:t>
      </w:r>
      <w:r w:rsidRPr="00B71707">
        <w:rPr>
          <w:rFonts w:asciiTheme="minorBidi" w:hAnsiTheme="minorBidi" w:cstheme="minorBidi"/>
          <w:b/>
          <w:bCs/>
          <w:sz w:val="24"/>
          <w:szCs w:val="24"/>
          <w:rtl/>
        </w:rPr>
        <w:t>דרכים הפנימיות</w:t>
      </w:r>
      <w:r w:rsidRPr="00B71707">
        <w:rPr>
          <w:rFonts w:asciiTheme="minorBidi" w:hAnsiTheme="minorBidi" w:cstheme="minorBidi"/>
          <w:sz w:val="24"/>
          <w:szCs w:val="24"/>
          <w:rtl/>
        </w:rPr>
        <w:t xml:space="preserve"> בתוך אותם המקומות הציבוריים.</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lastRenderedPageBreak/>
        <w:t>נוכח המורכבות הכרוכה במימוש חובת הנגשת הדרכים, נקבע בסימן ט' לחוק (סעיף 19לט(ד)) כי עד יום 1 בנובמבר 2006 על שר הפנים, בהתייעצות עם שר התחבורה, הנציבות והארגונים העוסקים בדבר, לקבוע את ההתאמות הנדרשות כדי למלא חובה זו. נקבע לוח זמנים לתהליך התקנת התקנות, להגשת תכנית מפורטת ולהחלת הוראות הנגישות הללו (סעיף 19לט(ה)-(ו)). עוד נקבע, כי אם לא ייקבע השר האחראי צו לפי סעיף זה, תחול חובת הנגישות לפי סימן זה במלואה לא יאוחר מיום 1.5.2018 (סעיף 19לט(ו)).</w:t>
      </w:r>
    </w:p>
    <w:p w:rsidR="00CB7C2B" w:rsidRPr="00B71707" w:rsidRDefault="00CB7C2B" w:rsidP="00542E19">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אשר לתחולת סימן ט', נקבעו ב</w:t>
      </w:r>
      <w:r w:rsidRPr="00B71707">
        <w:rPr>
          <w:rFonts w:asciiTheme="minorBidi" w:hAnsiTheme="minorBidi" w:cstheme="minorBidi"/>
          <w:b/>
          <w:bCs/>
          <w:sz w:val="24"/>
          <w:szCs w:val="24"/>
          <w:rtl/>
        </w:rPr>
        <w:t>חוק שוויון זכויות לאנשים עם מוגבלות (תיקון מס' 2), התשס"ה-2005</w:t>
      </w:r>
      <w:r w:rsidRPr="00B71707">
        <w:rPr>
          <w:rFonts w:asciiTheme="minorBidi" w:hAnsiTheme="minorBidi" w:cstheme="minorBidi"/>
          <w:sz w:val="24"/>
          <w:szCs w:val="24"/>
          <w:rtl/>
        </w:rPr>
        <w:t xml:space="preserve"> סעיפי תחילה ותחולה. סעיף 19 לתיקון לחוק זה קובע כי תחילתו של סימן ט' בפרק ה'1 לחוק השוויון תהיה </w:t>
      </w:r>
      <w:r w:rsidRPr="00B71707">
        <w:rPr>
          <w:rFonts w:asciiTheme="minorBidi" w:hAnsiTheme="minorBidi" w:cstheme="minorBidi"/>
          <w:b/>
          <w:bCs/>
          <w:sz w:val="24"/>
          <w:szCs w:val="24"/>
          <w:rtl/>
        </w:rPr>
        <w:t>ביום תחילתן של התקנות שהותקנו לראשונה לפי הסימן</w:t>
      </w:r>
      <w:r w:rsidRPr="00B71707">
        <w:rPr>
          <w:rFonts w:asciiTheme="minorBidi" w:hAnsiTheme="minorBidi" w:cstheme="minorBidi"/>
          <w:sz w:val="24"/>
          <w:szCs w:val="24"/>
          <w:rtl/>
        </w:rPr>
        <w:t>.</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 xml:space="preserve">למרבה הצער, חרף העובדה שהחוק קבע מועדים ספציפיים להתקנת התקנות, אלה נדחו מספר פעמים ועד היום טרם חוקקו. מאחר שטרם חוקקו התקנות האמורות, למעשה </w:t>
      </w:r>
      <w:r w:rsidRPr="00B71707">
        <w:rPr>
          <w:rFonts w:asciiTheme="minorBidi" w:hAnsiTheme="minorBidi" w:cstheme="minorBidi"/>
          <w:b/>
          <w:bCs/>
          <w:sz w:val="24"/>
          <w:szCs w:val="24"/>
          <w:rtl/>
        </w:rPr>
        <w:t>לא קמה חובה חוקית</w:t>
      </w:r>
      <w:r w:rsidRPr="00B71707">
        <w:rPr>
          <w:rFonts w:asciiTheme="minorBidi" w:hAnsiTheme="minorBidi" w:cstheme="minorBidi"/>
          <w:sz w:val="24"/>
          <w:szCs w:val="24"/>
          <w:rtl/>
        </w:rPr>
        <w:t xml:space="preserve"> על הרשויות המקומיות לבצע התאמות נגישות לדרכים על פי סעיף 19לט.</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 xml:space="preserve">יש לציין כי נעשתה במהלך השנים עבודה על ידי מחוקק המשנה, וכי התקנות האמורות נכתבו ומונחות על שולחן וועדת הכנסת לאישור. עם זאת, העובדה שחרף חלוף המועדים שנקבעו בחוק וחרף פניות חוזרות ונשנות של הנציבות בעניין, טרם תוקנו התקנות, היא בעייתית ומצערת. בעניין זה אף הוגשה עתירה לבית המשפט העליון בשבתו כבג"צ (בג"צ 5833/08 </w:t>
      </w:r>
      <w:r w:rsidRPr="00B71707">
        <w:rPr>
          <w:rFonts w:asciiTheme="minorBidi" w:hAnsiTheme="minorBidi" w:cstheme="minorBidi"/>
          <w:b/>
          <w:bCs/>
          <w:sz w:val="24"/>
          <w:szCs w:val="24"/>
          <w:rtl/>
        </w:rPr>
        <w:t>עמותת נגישות ישראל נ' שר התחבורה ואח'</w:t>
      </w:r>
      <w:r w:rsidRPr="00B71707">
        <w:rPr>
          <w:rFonts w:asciiTheme="minorBidi" w:hAnsiTheme="minorBidi" w:cstheme="minorBidi"/>
          <w:sz w:val="24"/>
          <w:szCs w:val="24"/>
          <w:rtl/>
        </w:rPr>
        <w:t>). עם זאת, המצב המשפטי נותר נכון להיום כפי שהוא: ללא תקנות, ועל כן ללא תחולה של סימן ט'.</w:t>
      </w:r>
    </w:p>
    <w:p w:rsidR="00CB7C2B" w:rsidRPr="00B71707" w:rsidRDefault="00431CC1" w:rsidP="00F773CB">
      <w:pPr>
        <w:pStyle w:val="2"/>
      </w:pPr>
      <w:r>
        <w:rPr>
          <w:rFonts w:hint="cs"/>
          <w:rtl/>
        </w:rPr>
        <w:t>ס</w:t>
      </w:r>
      <w:r w:rsidR="00CB7C2B" w:rsidRPr="00B71707">
        <w:rPr>
          <w:rtl/>
        </w:rPr>
        <w:t>יכום</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 xml:space="preserve">אנו סבורים כי מצב הנגישות ברשויות המקומיות, ככלל, הוא בכי רע. </w:t>
      </w:r>
      <w:r w:rsidRPr="00B71707">
        <w:rPr>
          <w:rFonts w:asciiTheme="minorBidi" w:hAnsiTheme="minorBidi" w:cstheme="minorBidi"/>
          <w:b/>
          <w:bCs/>
          <w:sz w:val="24"/>
          <w:szCs w:val="24"/>
          <w:rtl/>
        </w:rPr>
        <w:t>חוק הרשויות המקומיות (סידורים לנכים), תשמ"ח-1988</w:t>
      </w:r>
      <w:r w:rsidRPr="00B71707">
        <w:rPr>
          <w:rFonts w:asciiTheme="minorBidi" w:hAnsiTheme="minorBidi" w:cstheme="minorBidi"/>
          <w:sz w:val="24"/>
          <w:szCs w:val="24"/>
          <w:rtl/>
        </w:rPr>
        <w:t xml:space="preserve"> אינו נאכף, לצערנו, על ידי משרד הפנים. תקנות נגישות דרכים אמורות היו להיות מותקנות כבר בשנת 2006.</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עם זאת, הנגשת דרכים היא עניין מורכב, אשר אינו יכול להיפתר "על רגל אחת". יש להתייחס לתקנים הקיימים ולקבוע סטנדרטים של נגישות לדרכים חדשות וסטנדרטים שונים לדרכים קיימות, ולאפשר טווח זמנים ראוי למימושן על ידי הרשויות המקומיות.</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קידום הנגישות באמצעות תובענות ייצוגיות הוא מבורך. אך התובענה הייצוגית היא כלי עוצמתי ויש להשתמש בו בזהירות הראויה. שימוש לא נכון בכלי זה עלול להביא לתוצאה הפוכה. נוכחנו לדעת שהיו מקרים בהם הוגשו תביעות בעניין זה, והרשויות המקומיות החליטו לסגור את התיק בפשרה תמורת הסתלקות התובע הייצוגי ובא כוחו, כפוף לתשלום גמול לאלה. אין בהסכמי הפשרה הללו כדי לקדם את הנגשת הדרכים.</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 xml:space="preserve">לרשויות המקומיות חובות רבות בתחום הנגישות, בין היתר הנגשת השירות, הנגשת בניינים ציבוריים ומקומות שאינם בניינים. בתחומים אלה ישנן תקנות ברורות המפרטות את חובת ההנגשה. </w:t>
      </w:r>
    </w:p>
    <w:p w:rsidR="00CB7C2B" w:rsidRPr="00B71707" w:rsidRDefault="00CB7C2B" w:rsidP="00B71707">
      <w:pPr>
        <w:numPr>
          <w:ilvl w:val="0"/>
          <w:numId w:val="1"/>
        </w:numPr>
        <w:bidi/>
        <w:spacing w:before="240" w:after="360" w:line="276" w:lineRule="auto"/>
        <w:jc w:val="both"/>
        <w:rPr>
          <w:rFonts w:asciiTheme="minorBidi" w:hAnsiTheme="minorBidi" w:cstheme="minorBidi"/>
          <w:sz w:val="24"/>
          <w:szCs w:val="24"/>
        </w:rPr>
      </w:pPr>
      <w:r w:rsidRPr="00B71707">
        <w:rPr>
          <w:rFonts w:asciiTheme="minorBidi" w:hAnsiTheme="minorBidi" w:cstheme="minorBidi"/>
          <w:sz w:val="24"/>
          <w:szCs w:val="24"/>
          <w:rtl/>
        </w:rPr>
        <w:t xml:space="preserve">לפיכך, אנו קוראים לשר הפנים להתקין במהרה את תקנות הנגשת הדרכים. </w:t>
      </w:r>
    </w:p>
    <w:p w:rsidR="00CB7C2B" w:rsidRPr="00B71707" w:rsidRDefault="00CB7C2B" w:rsidP="00431CC1">
      <w:pPr>
        <w:numPr>
          <w:ilvl w:val="0"/>
          <w:numId w:val="1"/>
        </w:numPr>
        <w:bidi/>
        <w:spacing w:before="240" w:after="360" w:line="276" w:lineRule="auto"/>
        <w:jc w:val="both"/>
        <w:rPr>
          <w:rFonts w:asciiTheme="minorBidi" w:hAnsiTheme="minorBidi" w:cstheme="minorBidi"/>
          <w:sz w:val="24"/>
          <w:szCs w:val="24"/>
        </w:rPr>
      </w:pPr>
      <w:r w:rsidRPr="00431CC1">
        <w:rPr>
          <w:rFonts w:asciiTheme="minorBidi" w:hAnsiTheme="minorBidi" w:cstheme="minorBidi"/>
          <w:sz w:val="24"/>
          <w:szCs w:val="24"/>
          <w:rtl/>
        </w:rPr>
        <w:t>מכל מקום, מבחינת המצב המשפטי השורר כיום, בשל הסיבות שפורטו במסגרת הניתוח המשפטי לעיל, העדר הנגשת דרכים בתחומי השיפוט של רשויות מקומיות אינה יכולה להיות מפורשת כעילה להגשת תובענה ייצוגית נגדן (למעט סביבת תחנות אוטובוס, ר' סע' 3(א) לעיל).</w:t>
      </w:r>
    </w:p>
    <w:sectPr w:rsidR="00CB7C2B" w:rsidRPr="00B71707" w:rsidSect="00B71707">
      <w:headerReference w:type="default" r:id="rId9"/>
      <w:footerReference w:type="default" r:id="rId10"/>
      <w:headerReference w:type="first" r:id="rId11"/>
      <w:footerReference w:type="first" r:id="rId12"/>
      <w:pgSz w:w="11906" w:h="16838"/>
      <w:pgMar w:top="720" w:right="720" w:bottom="720" w:left="720" w:header="397" w:footer="283" w:gutter="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406E" w:rsidRDefault="0097406E" w:rsidP="00D85E2F">
      <w:r>
        <w:separator/>
      </w:r>
    </w:p>
    <w:p w:rsidR="004445A8" w:rsidRDefault="004445A8"/>
  </w:endnote>
  <w:endnote w:type="continuationSeparator" w:id="0">
    <w:p w:rsidR="0097406E" w:rsidRDefault="0097406E" w:rsidP="00D85E2F">
      <w:r>
        <w:continuationSeparator/>
      </w:r>
    </w:p>
    <w:p w:rsidR="004445A8" w:rsidRDefault="004445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1"/>
    <w:family w:val="swiss"/>
    <w:notTrueType/>
    <w:pitch w:val="variable"/>
    <w:sig w:usb0="00000801" w:usb1="00000000" w:usb2="00000000" w:usb3="00000000" w:csb0="0000002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707" w:rsidRDefault="00B71707" w:rsidP="00B71707">
    <w:pPr>
      <w:jc w:val="cente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0"/>
      <w:gridCol w:w="2614"/>
      <w:gridCol w:w="2614"/>
      <w:gridCol w:w="2614"/>
    </w:tblGrid>
    <w:tr w:rsidR="00486BF4" w:rsidTr="00B71707">
      <w:trPr>
        <w:trHeight w:val="397"/>
      </w:trPr>
      <w:tc>
        <w:tcPr>
          <w:tcW w:w="2730" w:type="dxa"/>
          <w:tcBorders>
            <w:top w:val="single" w:sz="4" w:space="0" w:color="0070C0"/>
            <w:bottom w:val="single" w:sz="24" w:space="0" w:color="FFFFFF" w:themeColor="background1"/>
            <w:right w:val="single" w:sz="8" w:space="0" w:color="FFFFFF"/>
          </w:tcBorders>
          <w:shd w:val="clear" w:color="auto" w:fill="0070C0"/>
          <w:vAlign w:val="bottom"/>
        </w:tcPr>
        <w:p w:rsidR="00486BF4" w:rsidRPr="00813226" w:rsidRDefault="00542E19" w:rsidP="00486BF4">
          <w:pPr>
            <w:pStyle w:val="a5"/>
            <w:bidi/>
            <w:spacing w:line="276" w:lineRule="auto"/>
            <w:jc w:val="center"/>
            <w:rPr>
              <w:b/>
              <w:bCs/>
              <w:color w:val="FFFFFF" w:themeColor="background1"/>
              <w:szCs w:val="22"/>
            </w:rPr>
          </w:pPr>
          <w:r>
            <w:rPr>
              <w:rStyle w:val="Hyperlink"/>
              <w:b/>
              <w:bCs/>
              <w:color w:val="FFFFFF" w:themeColor="background1"/>
              <w:szCs w:val="22"/>
            </w:rPr>
            <w:t>pniotnez</w:t>
          </w:r>
          <w:r w:rsidR="00DF609D" w:rsidRPr="00DF609D">
            <w:rPr>
              <w:rStyle w:val="Hyperlink"/>
              <w:b/>
              <w:bCs/>
              <w:color w:val="FFFFFF" w:themeColor="background1"/>
              <w:szCs w:val="22"/>
            </w:rPr>
            <w:t>@justice.gov.il</w:t>
          </w:r>
        </w:p>
      </w:tc>
      <w:tc>
        <w:tcPr>
          <w:tcW w:w="5228" w:type="dxa"/>
          <w:gridSpan w:val="2"/>
          <w:tcBorders>
            <w:top w:val="single" w:sz="4" w:space="0" w:color="0070C0"/>
            <w:left w:val="single" w:sz="8" w:space="0" w:color="FFFFFF"/>
            <w:bottom w:val="single" w:sz="24" w:space="0" w:color="FFFFFF" w:themeColor="background1"/>
            <w:right w:val="single" w:sz="8" w:space="0" w:color="FFFFFF"/>
          </w:tcBorders>
          <w:shd w:val="clear" w:color="auto" w:fill="0070C0"/>
          <w:vAlign w:val="bottom"/>
        </w:tcPr>
        <w:p w:rsidR="00486BF4" w:rsidRPr="00813226" w:rsidRDefault="00486BF4" w:rsidP="00486BF4">
          <w:pPr>
            <w:pStyle w:val="a5"/>
            <w:bidi/>
            <w:spacing w:line="276" w:lineRule="auto"/>
            <w:jc w:val="center"/>
            <w:rPr>
              <w:b/>
              <w:bCs/>
              <w:color w:val="FFFFFF" w:themeColor="background1"/>
              <w:szCs w:val="22"/>
              <w:rtl/>
            </w:rPr>
          </w:pPr>
          <w:r w:rsidRPr="00813226">
            <w:rPr>
              <w:rFonts w:hint="cs"/>
              <w:b/>
              <w:bCs/>
              <w:color w:val="FFFFFF" w:themeColor="background1"/>
              <w:szCs w:val="22"/>
              <w:rtl/>
            </w:rPr>
            <w:t>פקס: 02-5088025</w:t>
          </w:r>
        </w:p>
      </w:tc>
      <w:tc>
        <w:tcPr>
          <w:tcW w:w="2614" w:type="dxa"/>
          <w:tcBorders>
            <w:top w:val="single" w:sz="4" w:space="0" w:color="0070C0"/>
            <w:left w:val="single" w:sz="8" w:space="0" w:color="FFFFFF"/>
            <w:bottom w:val="single" w:sz="24" w:space="0" w:color="FFFFFF" w:themeColor="background1"/>
          </w:tcBorders>
          <w:shd w:val="clear" w:color="auto" w:fill="0070C0"/>
          <w:vAlign w:val="bottom"/>
        </w:tcPr>
        <w:p w:rsidR="00486BF4" w:rsidRPr="00813226" w:rsidRDefault="00486BF4" w:rsidP="00542E19">
          <w:pPr>
            <w:pStyle w:val="a5"/>
            <w:tabs>
              <w:tab w:val="left" w:pos="218"/>
              <w:tab w:val="center" w:pos="1199"/>
            </w:tabs>
            <w:bidi/>
            <w:spacing w:line="276" w:lineRule="auto"/>
            <w:jc w:val="center"/>
            <w:rPr>
              <w:b/>
              <w:bCs/>
              <w:color w:val="FFFFFF" w:themeColor="background1"/>
              <w:szCs w:val="22"/>
              <w:rtl/>
            </w:rPr>
          </w:pPr>
          <w:r w:rsidRPr="00813226">
            <w:rPr>
              <w:rFonts w:hint="cs"/>
              <w:b/>
              <w:bCs/>
              <w:color w:val="FFFFFF" w:themeColor="background1"/>
              <w:szCs w:val="22"/>
              <w:rtl/>
            </w:rPr>
            <w:t xml:space="preserve">טל: </w:t>
          </w:r>
          <w:r w:rsidR="00542E19">
            <w:rPr>
              <w:b/>
              <w:bCs/>
              <w:color w:val="FFFFFF" w:themeColor="background1"/>
              <w:szCs w:val="22"/>
            </w:rPr>
            <w:t>02-5088001</w:t>
          </w:r>
        </w:p>
      </w:tc>
    </w:tr>
    <w:tr w:rsidR="00813226" w:rsidTr="00B71707">
      <w:trPr>
        <w:trHeight w:val="397"/>
      </w:trPr>
      <w:tc>
        <w:tcPr>
          <w:tcW w:w="5344" w:type="dxa"/>
          <w:gridSpan w:val="2"/>
          <w:tcBorders>
            <w:top w:val="single" w:sz="24" w:space="0" w:color="FFFFFF" w:themeColor="background1"/>
            <w:bottom w:val="single" w:sz="24" w:space="0" w:color="FFFFFF" w:themeColor="background1"/>
            <w:right w:val="single" w:sz="8" w:space="0" w:color="FFFFFF"/>
          </w:tcBorders>
          <w:shd w:val="clear" w:color="auto" w:fill="0070C0"/>
          <w:vAlign w:val="bottom"/>
        </w:tcPr>
        <w:p w:rsidR="003A7DE2" w:rsidRPr="005348BE" w:rsidRDefault="005348BE" w:rsidP="00BB3E16">
          <w:pPr>
            <w:bidi/>
            <w:spacing w:line="360" w:lineRule="auto"/>
            <w:jc w:val="center"/>
            <w:rPr>
              <w:b/>
              <w:bCs/>
              <w:sz w:val="20"/>
              <w:rtl/>
            </w:rPr>
          </w:pPr>
          <w:r w:rsidRPr="005348BE">
            <w:rPr>
              <w:rFonts w:hint="cs"/>
              <w:b/>
              <w:bCs/>
              <w:color w:val="FFFFFF" w:themeColor="background1"/>
              <w:sz w:val="20"/>
              <w:rtl/>
            </w:rPr>
            <w:t xml:space="preserve">דואר: </w:t>
          </w:r>
          <w:r w:rsidR="00D96A2D" w:rsidRPr="005348BE">
            <w:rPr>
              <w:b/>
              <w:bCs/>
              <w:color w:val="FFFFFF" w:themeColor="background1"/>
              <w:sz w:val="20"/>
              <w:rtl/>
            </w:rPr>
            <w:t xml:space="preserve">ת.ד. 36053, סניף שערי </w:t>
          </w:r>
          <w:r w:rsidR="00BB3E16">
            <w:rPr>
              <w:rFonts w:hint="cs"/>
              <w:b/>
              <w:bCs/>
              <w:color w:val="FFFFFF" w:themeColor="background1"/>
              <w:sz w:val="20"/>
              <w:rtl/>
            </w:rPr>
            <w:t>ירושלים</w:t>
          </w:r>
          <w:r w:rsidR="00D96A2D" w:rsidRPr="005348BE">
            <w:rPr>
              <w:b/>
              <w:bCs/>
              <w:color w:val="FFFFFF" w:themeColor="background1"/>
              <w:sz w:val="20"/>
              <w:rtl/>
            </w:rPr>
            <w:t xml:space="preserve">, מיקוד 9136001 </w:t>
          </w:r>
        </w:p>
      </w:tc>
      <w:tc>
        <w:tcPr>
          <w:tcW w:w="5228" w:type="dxa"/>
          <w:gridSpan w:val="2"/>
          <w:tcBorders>
            <w:top w:val="single" w:sz="24" w:space="0" w:color="FFFFFF" w:themeColor="background1"/>
            <w:left w:val="single" w:sz="8" w:space="0" w:color="FFFFFF"/>
            <w:bottom w:val="single" w:sz="24" w:space="0" w:color="FFFFFF" w:themeColor="background1"/>
          </w:tcBorders>
          <w:shd w:val="clear" w:color="auto" w:fill="0070C0"/>
          <w:vAlign w:val="bottom"/>
        </w:tcPr>
        <w:p w:rsidR="003A7DE2" w:rsidRPr="005348BE" w:rsidRDefault="003A7DE2" w:rsidP="005348BE">
          <w:pPr>
            <w:bidi/>
            <w:spacing w:line="360" w:lineRule="auto"/>
            <w:jc w:val="center"/>
            <w:rPr>
              <w:b/>
              <w:bCs/>
              <w:color w:val="FFFFFF" w:themeColor="background1"/>
              <w:sz w:val="20"/>
              <w:rtl/>
            </w:rPr>
          </w:pPr>
          <w:r w:rsidRPr="005348BE">
            <w:rPr>
              <w:b/>
              <w:bCs/>
              <w:color w:val="FFFFFF" w:themeColor="background1"/>
              <w:sz w:val="20"/>
              <w:rtl/>
            </w:rPr>
            <w:t>כתובת: רח' ירמיהו 37, בניין א, קומה 9, ירושלים</w:t>
          </w:r>
        </w:p>
      </w:tc>
    </w:tr>
    <w:tr w:rsidR="003A7DE2" w:rsidTr="00B71707">
      <w:trPr>
        <w:trHeight w:val="340"/>
      </w:trPr>
      <w:tc>
        <w:tcPr>
          <w:tcW w:w="10572" w:type="dxa"/>
          <w:gridSpan w:val="4"/>
          <w:tcBorders>
            <w:top w:val="single" w:sz="24" w:space="0" w:color="FFFFFF" w:themeColor="background1"/>
            <w:bottom w:val="single" w:sz="8" w:space="0" w:color="FFFFFF"/>
          </w:tcBorders>
          <w:shd w:val="clear" w:color="auto" w:fill="002060"/>
          <w:vAlign w:val="bottom"/>
        </w:tcPr>
        <w:p w:rsidR="003A7DE2" w:rsidRPr="00D96A2D" w:rsidRDefault="00F773CB" w:rsidP="00813226">
          <w:pPr>
            <w:pStyle w:val="a5"/>
            <w:bidi/>
            <w:spacing w:line="276" w:lineRule="auto"/>
            <w:jc w:val="center"/>
            <w:rPr>
              <w:b/>
              <w:bCs/>
              <w:color w:val="FFFFFF" w:themeColor="background1"/>
              <w:sz w:val="26"/>
              <w:szCs w:val="26"/>
              <w:rtl/>
            </w:rPr>
          </w:pPr>
          <w:hyperlink r:id="rId1" w:history="1">
            <w:r w:rsidR="00D96A2D" w:rsidRPr="00D96A2D">
              <w:rPr>
                <w:rStyle w:val="Hyperlink"/>
                <w:b/>
                <w:bCs/>
                <w:color w:val="FFFFFF" w:themeColor="background1"/>
                <w:sz w:val="26"/>
                <w:szCs w:val="26"/>
              </w:rPr>
              <w:t>www.mugbaluyot.mishpatim.gov.il</w:t>
            </w:r>
          </w:hyperlink>
        </w:p>
      </w:tc>
    </w:tr>
  </w:tbl>
  <w:p w:rsidR="00D85E2F" w:rsidRPr="003A7DE2" w:rsidRDefault="00D85E2F" w:rsidP="00813226">
    <w:pPr>
      <w:pStyle w:val="a5"/>
      <w:bidi/>
      <w:spacing w:line="276" w:lineRule="auto"/>
      <w:rPr>
        <w:rFonts w:hint="cs"/>
        <w:szCs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19" w:rsidRDefault="00542E19" w:rsidP="00542E19">
    <w:pPr>
      <w:jc w:val="cente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0"/>
      <w:gridCol w:w="2614"/>
      <w:gridCol w:w="2614"/>
      <w:gridCol w:w="2614"/>
    </w:tblGrid>
    <w:tr w:rsidR="00542E19" w:rsidTr="003313A6">
      <w:trPr>
        <w:trHeight w:val="397"/>
      </w:trPr>
      <w:tc>
        <w:tcPr>
          <w:tcW w:w="2730" w:type="dxa"/>
          <w:tcBorders>
            <w:top w:val="single" w:sz="4" w:space="0" w:color="0070C0"/>
            <w:bottom w:val="single" w:sz="24" w:space="0" w:color="FFFFFF" w:themeColor="background1"/>
            <w:right w:val="single" w:sz="8" w:space="0" w:color="FFFFFF"/>
          </w:tcBorders>
          <w:shd w:val="clear" w:color="auto" w:fill="0070C0"/>
          <w:vAlign w:val="bottom"/>
        </w:tcPr>
        <w:p w:rsidR="00542E19" w:rsidRPr="00813226" w:rsidRDefault="00542E19" w:rsidP="003313A6">
          <w:pPr>
            <w:pStyle w:val="a5"/>
            <w:bidi/>
            <w:spacing w:line="276" w:lineRule="auto"/>
            <w:jc w:val="center"/>
            <w:rPr>
              <w:b/>
              <w:bCs/>
              <w:color w:val="FFFFFF" w:themeColor="background1"/>
              <w:szCs w:val="22"/>
            </w:rPr>
          </w:pPr>
          <w:r>
            <w:rPr>
              <w:rStyle w:val="Hyperlink"/>
              <w:b/>
              <w:bCs/>
              <w:color w:val="FFFFFF" w:themeColor="background1"/>
              <w:szCs w:val="22"/>
            </w:rPr>
            <w:t>pniotnez</w:t>
          </w:r>
          <w:r w:rsidRPr="00DF609D">
            <w:rPr>
              <w:rStyle w:val="Hyperlink"/>
              <w:b/>
              <w:bCs/>
              <w:color w:val="FFFFFF" w:themeColor="background1"/>
              <w:szCs w:val="22"/>
            </w:rPr>
            <w:t>@justice.gov.il</w:t>
          </w:r>
        </w:p>
      </w:tc>
      <w:tc>
        <w:tcPr>
          <w:tcW w:w="5228" w:type="dxa"/>
          <w:gridSpan w:val="2"/>
          <w:tcBorders>
            <w:top w:val="single" w:sz="4" w:space="0" w:color="0070C0"/>
            <w:left w:val="single" w:sz="8" w:space="0" w:color="FFFFFF"/>
            <w:bottom w:val="single" w:sz="24" w:space="0" w:color="FFFFFF" w:themeColor="background1"/>
            <w:right w:val="single" w:sz="8" w:space="0" w:color="FFFFFF"/>
          </w:tcBorders>
          <w:shd w:val="clear" w:color="auto" w:fill="0070C0"/>
          <w:vAlign w:val="bottom"/>
        </w:tcPr>
        <w:p w:rsidR="00542E19" w:rsidRPr="00813226" w:rsidRDefault="00542E19" w:rsidP="003313A6">
          <w:pPr>
            <w:pStyle w:val="a5"/>
            <w:bidi/>
            <w:spacing w:line="276" w:lineRule="auto"/>
            <w:jc w:val="center"/>
            <w:rPr>
              <w:b/>
              <w:bCs/>
              <w:color w:val="FFFFFF" w:themeColor="background1"/>
              <w:szCs w:val="22"/>
              <w:rtl/>
            </w:rPr>
          </w:pPr>
          <w:r w:rsidRPr="00813226">
            <w:rPr>
              <w:rFonts w:hint="cs"/>
              <w:b/>
              <w:bCs/>
              <w:color w:val="FFFFFF" w:themeColor="background1"/>
              <w:szCs w:val="22"/>
              <w:rtl/>
            </w:rPr>
            <w:t>פקס: 02-5088025</w:t>
          </w:r>
        </w:p>
      </w:tc>
      <w:tc>
        <w:tcPr>
          <w:tcW w:w="2614" w:type="dxa"/>
          <w:tcBorders>
            <w:top w:val="single" w:sz="4" w:space="0" w:color="0070C0"/>
            <w:left w:val="single" w:sz="8" w:space="0" w:color="FFFFFF"/>
            <w:bottom w:val="single" w:sz="24" w:space="0" w:color="FFFFFF" w:themeColor="background1"/>
          </w:tcBorders>
          <w:shd w:val="clear" w:color="auto" w:fill="0070C0"/>
          <w:vAlign w:val="bottom"/>
        </w:tcPr>
        <w:p w:rsidR="00542E19" w:rsidRPr="00813226" w:rsidRDefault="00542E19" w:rsidP="003313A6">
          <w:pPr>
            <w:pStyle w:val="a5"/>
            <w:tabs>
              <w:tab w:val="left" w:pos="218"/>
              <w:tab w:val="center" w:pos="1199"/>
            </w:tabs>
            <w:bidi/>
            <w:spacing w:line="276" w:lineRule="auto"/>
            <w:jc w:val="center"/>
            <w:rPr>
              <w:b/>
              <w:bCs/>
              <w:color w:val="FFFFFF" w:themeColor="background1"/>
              <w:szCs w:val="22"/>
              <w:rtl/>
            </w:rPr>
          </w:pPr>
          <w:r w:rsidRPr="00813226">
            <w:rPr>
              <w:rFonts w:hint="cs"/>
              <w:b/>
              <w:bCs/>
              <w:color w:val="FFFFFF" w:themeColor="background1"/>
              <w:szCs w:val="22"/>
              <w:rtl/>
            </w:rPr>
            <w:t xml:space="preserve">טל: </w:t>
          </w:r>
          <w:r>
            <w:rPr>
              <w:b/>
              <w:bCs/>
              <w:color w:val="FFFFFF" w:themeColor="background1"/>
              <w:szCs w:val="22"/>
            </w:rPr>
            <w:t>02-5088001</w:t>
          </w:r>
        </w:p>
      </w:tc>
    </w:tr>
    <w:tr w:rsidR="00542E19" w:rsidTr="003313A6">
      <w:trPr>
        <w:trHeight w:val="397"/>
      </w:trPr>
      <w:tc>
        <w:tcPr>
          <w:tcW w:w="5344" w:type="dxa"/>
          <w:gridSpan w:val="2"/>
          <w:tcBorders>
            <w:top w:val="single" w:sz="24" w:space="0" w:color="FFFFFF" w:themeColor="background1"/>
            <w:bottom w:val="single" w:sz="24" w:space="0" w:color="FFFFFF" w:themeColor="background1"/>
            <w:right w:val="single" w:sz="8" w:space="0" w:color="FFFFFF"/>
          </w:tcBorders>
          <w:shd w:val="clear" w:color="auto" w:fill="0070C0"/>
          <w:vAlign w:val="bottom"/>
        </w:tcPr>
        <w:p w:rsidR="00542E19" w:rsidRPr="005348BE" w:rsidRDefault="00542E19" w:rsidP="003313A6">
          <w:pPr>
            <w:bidi/>
            <w:spacing w:line="360" w:lineRule="auto"/>
            <w:jc w:val="center"/>
            <w:rPr>
              <w:b/>
              <w:bCs/>
              <w:sz w:val="20"/>
              <w:rtl/>
            </w:rPr>
          </w:pPr>
          <w:r w:rsidRPr="005348BE">
            <w:rPr>
              <w:rFonts w:hint="cs"/>
              <w:b/>
              <w:bCs/>
              <w:color w:val="FFFFFF" w:themeColor="background1"/>
              <w:sz w:val="20"/>
              <w:rtl/>
            </w:rPr>
            <w:t xml:space="preserve">דואר: </w:t>
          </w:r>
          <w:r w:rsidRPr="005348BE">
            <w:rPr>
              <w:b/>
              <w:bCs/>
              <w:color w:val="FFFFFF" w:themeColor="background1"/>
              <w:sz w:val="20"/>
              <w:rtl/>
            </w:rPr>
            <w:t xml:space="preserve">ת.ד. 36053, סניף שערי </w:t>
          </w:r>
          <w:r>
            <w:rPr>
              <w:rFonts w:hint="cs"/>
              <w:b/>
              <w:bCs/>
              <w:color w:val="FFFFFF" w:themeColor="background1"/>
              <w:sz w:val="20"/>
              <w:rtl/>
            </w:rPr>
            <w:t>ירושלים</w:t>
          </w:r>
          <w:r w:rsidRPr="005348BE">
            <w:rPr>
              <w:b/>
              <w:bCs/>
              <w:color w:val="FFFFFF" w:themeColor="background1"/>
              <w:sz w:val="20"/>
              <w:rtl/>
            </w:rPr>
            <w:t xml:space="preserve">, מיקוד 9136001 </w:t>
          </w:r>
        </w:p>
      </w:tc>
      <w:tc>
        <w:tcPr>
          <w:tcW w:w="5228" w:type="dxa"/>
          <w:gridSpan w:val="2"/>
          <w:tcBorders>
            <w:top w:val="single" w:sz="24" w:space="0" w:color="FFFFFF" w:themeColor="background1"/>
            <w:left w:val="single" w:sz="8" w:space="0" w:color="FFFFFF"/>
            <w:bottom w:val="single" w:sz="24" w:space="0" w:color="FFFFFF" w:themeColor="background1"/>
          </w:tcBorders>
          <w:shd w:val="clear" w:color="auto" w:fill="0070C0"/>
          <w:vAlign w:val="bottom"/>
        </w:tcPr>
        <w:p w:rsidR="00542E19" w:rsidRPr="005348BE" w:rsidRDefault="00542E19" w:rsidP="003313A6">
          <w:pPr>
            <w:bidi/>
            <w:spacing w:line="360" w:lineRule="auto"/>
            <w:jc w:val="center"/>
            <w:rPr>
              <w:b/>
              <w:bCs/>
              <w:color w:val="FFFFFF" w:themeColor="background1"/>
              <w:sz w:val="20"/>
              <w:rtl/>
            </w:rPr>
          </w:pPr>
          <w:r w:rsidRPr="005348BE">
            <w:rPr>
              <w:b/>
              <w:bCs/>
              <w:color w:val="FFFFFF" w:themeColor="background1"/>
              <w:sz w:val="20"/>
              <w:rtl/>
            </w:rPr>
            <w:t>כתובת: רח' ירמיהו 37, בניין א, קומה 9, ירושלים</w:t>
          </w:r>
        </w:p>
      </w:tc>
    </w:tr>
    <w:tr w:rsidR="00542E19" w:rsidTr="003313A6">
      <w:trPr>
        <w:trHeight w:val="340"/>
      </w:trPr>
      <w:tc>
        <w:tcPr>
          <w:tcW w:w="10572" w:type="dxa"/>
          <w:gridSpan w:val="4"/>
          <w:tcBorders>
            <w:top w:val="single" w:sz="24" w:space="0" w:color="FFFFFF" w:themeColor="background1"/>
            <w:bottom w:val="single" w:sz="8" w:space="0" w:color="FFFFFF"/>
          </w:tcBorders>
          <w:shd w:val="clear" w:color="auto" w:fill="002060"/>
          <w:vAlign w:val="bottom"/>
        </w:tcPr>
        <w:p w:rsidR="00542E19" w:rsidRPr="00D96A2D" w:rsidRDefault="00542E19" w:rsidP="003313A6">
          <w:pPr>
            <w:pStyle w:val="a5"/>
            <w:bidi/>
            <w:spacing w:line="276" w:lineRule="auto"/>
            <w:jc w:val="center"/>
            <w:rPr>
              <w:b/>
              <w:bCs/>
              <w:color w:val="FFFFFF" w:themeColor="background1"/>
              <w:sz w:val="26"/>
              <w:szCs w:val="26"/>
              <w:rtl/>
            </w:rPr>
          </w:pPr>
          <w:hyperlink r:id="rId1" w:history="1">
            <w:r w:rsidRPr="00D96A2D">
              <w:rPr>
                <w:rStyle w:val="Hyperlink"/>
                <w:b/>
                <w:bCs/>
                <w:color w:val="FFFFFF" w:themeColor="background1"/>
                <w:sz w:val="26"/>
                <w:szCs w:val="26"/>
              </w:rPr>
              <w:t>www.mugbaluyot.mishpatim.gov.il</w:t>
            </w:r>
          </w:hyperlink>
        </w:p>
      </w:tc>
    </w:tr>
  </w:tbl>
  <w:p w:rsidR="00542E19" w:rsidRPr="003A7DE2" w:rsidRDefault="00542E19" w:rsidP="00542E19">
    <w:pPr>
      <w:pStyle w:val="a5"/>
      <w:bidi/>
      <w:spacing w:line="276" w:lineRule="auto"/>
      <w:rPr>
        <w:rFonts w:hint="cs"/>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406E" w:rsidRDefault="0097406E" w:rsidP="00D85E2F">
      <w:r>
        <w:separator/>
      </w:r>
    </w:p>
    <w:p w:rsidR="004445A8" w:rsidRDefault="004445A8"/>
  </w:footnote>
  <w:footnote w:type="continuationSeparator" w:id="0">
    <w:p w:rsidR="0097406E" w:rsidRDefault="0097406E" w:rsidP="00D85E2F">
      <w:r>
        <w:continuationSeparator/>
      </w:r>
    </w:p>
    <w:p w:rsidR="004445A8" w:rsidRDefault="004445A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707" w:rsidRDefault="00B71707" w:rsidP="00B71707">
    <w:pPr>
      <w:pStyle w:val="a3"/>
      <w:jc w:val="center"/>
    </w:pPr>
    <w:r>
      <w:rPr>
        <w:noProof/>
      </w:rPr>
      <w:drawing>
        <wp:inline distT="0" distB="0" distL="0" distR="0" wp14:anchorId="3F8AD672" wp14:editId="4C51B079">
          <wp:extent cx="6645910" cy="783590"/>
          <wp:effectExtent l="0" t="0" r="0" b="0"/>
          <wp:docPr id="3" name="Picture 3" descr="נציבות שוויון זכויות לאנשים עם מוגבלות&#10;משרד המשפטים&#10;Commission for Equal Rights of Persons with Disabilities&#10;Ministry of Justice&#10;مفوضية مساواة حقوق الأشخاص ذوي الإعاقة&#10;وزارة العدل" title="לוגו נציבות שוויון זכויות לאנשים עם מוגבלות במשרד המשפטי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SRAD_HAMISHPATIM_Equality_CMY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45910" cy="783590"/>
                  </a:xfrm>
                  <a:prstGeom prst="rect">
                    <a:avLst/>
                  </a:prstGeom>
                </pic:spPr>
              </pic:pic>
            </a:graphicData>
          </a:graphic>
        </wp:inline>
      </w:drawing>
    </w:r>
  </w:p>
  <w:p w:rsidR="00B71707" w:rsidRPr="00B71707" w:rsidRDefault="00F773CB" w:rsidP="00B71707">
    <w:pPr>
      <w:pStyle w:val="a3"/>
      <w:spacing w:after="360"/>
      <w:jc w:val="center"/>
      <w:rPr>
        <w:sz w:val="32"/>
        <w:szCs w:val="32"/>
        <w:rtl/>
        <w:cs/>
      </w:rPr>
    </w:pPr>
    <w:sdt>
      <w:sdtPr>
        <w:rPr>
          <w:sz w:val="32"/>
          <w:szCs w:val="32"/>
        </w:rPr>
        <w:id w:val="-2049060812"/>
        <w:docPartObj>
          <w:docPartGallery w:val="Page Numbers (Top of Page)"/>
          <w:docPartUnique/>
        </w:docPartObj>
      </w:sdtPr>
      <w:sdtEndPr>
        <w:rPr>
          <w:cs/>
        </w:rPr>
      </w:sdtEndPr>
      <w:sdtContent>
        <w:r w:rsidR="00B71707" w:rsidRPr="00B71707">
          <w:rPr>
            <w:sz w:val="32"/>
            <w:szCs w:val="32"/>
          </w:rPr>
          <w:fldChar w:fldCharType="begin"/>
        </w:r>
        <w:r w:rsidR="00B71707" w:rsidRPr="00B71707">
          <w:rPr>
            <w:sz w:val="32"/>
            <w:szCs w:val="32"/>
            <w:rtl/>
            <w:cs/>
          </w:rPr>
          <w:instrText xml:space="preserve">PAGE   </w:instrText>
        </w:r>
        <w:r w:rsidR="00B71707" w:rsidRPr="00B71707">
          <w:rPr>
            <w:sz w:val="32"/>
            <w:szCs w:val="32"/>
            <w:cs/>
          </w:rPr>
          <w:instrText>\</w:instrText>
        </w:r>
        <w:r w:rsidR="00B71707" w:rsidRPr="00B71707">
          <w:rPr>
            <w:sz w:val="32"/>
            <w:szCs w:val="32"/>
            <w:rtl/>
            <w:cs/>
          </w:rPr>
          <w:instrText xml:space="preserve">* </w:instrText>
        </w:r>
        <w:r w:rsidR="00B71707" w:rsidRPr="00B71707">
          <w:rPr>
            <w:sz w:val="32"/>
            <w:szCs w:val="32"/>
            <w:cs/>
          </w:rPr>
          <w:instrText>MERGEFORMAT</w:instrText>
        </w:r>
        <w:r w:rsidR="00B71707" w:rsidRPr="00B71707">
          <w:rPr>
            <w:sz w:val="32"/>
            <w:szCs w:val="32"/>
          </w:rPr>
          <w:fldChar w:fldCharType="separate"/>
        </w:r>
        <w:r w:rsidRPr="00F773CB">
          <w:rPr>
            <w:noProof/>
            <w:sz w:val="32"/>
            <w:szCs w:val="32"/>
            <w:lang w:val="he-IL"/>
          </w:rPr>
          <w:t>2</w:t>
        </w:r>
        <w:r w:rsidR="00B71707" w:rsidRPr="00B71707">
          <w:rPr>
            <w:sz w:val="32"/>
            <w:szCs w:val="32"/>
          </w:rPr>
          <w:fldChar w:fldCharType="end"/>
        </w:r>
      </w:sdtContent>
    </w:sdt>
  </w:p>
  <w:p w:rsidR="004445A8" w:rsidRDefault="004445A8" w:rsidP="00B7170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707" w:rsidRDefault="00B71707" w:rsidP="00B71707">
    <w:pPr>
      <w:pStyle w:val="a3"/>
    </w:pPr>
    <w:r>
      <w:rPr>
        <w:noProof/>
      </w:rPr>
      <w:drawing>
        <wp:inline distT="0" distB="0" distL="0" distR="0" wp14:anchorId="65645D80" wp14:editId="5663D6CF">
          <wp:extent cx="6645910" cy="783590"/>
          <wp:effectExtent l="0" t="0" r="0" b="0"/>
          <wp:docPr id="1" name="Picture 3" descr="נציבות שוויון זכויות לאנשים עם מוגבלות&#10;משרד המשפטים&#10;Commission for Equal Rights of Persons with Disabilities&#10;Ministry of Justice&#10;مفوضية مساواة حقوق الأشخاص ذوي الإعاقة&#10;وزارة العدل" title="לוגו נציבות שוויון זכויות לאנשים עם מוגבלות במשרד המשפטי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SRAD_HAMISHPATIM_Equality_CMY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45910" cy="783590"/>
                  </a:xfrm>
                  <a:prstGeom prst="rect">
                    <a:avLst/>
                  </a:prstGeom>
                </pic:spPr>
              </pic:pic>
            </a:graphicData>
          </a:graphic>
        </wp:inline>
      </w:drawing>
    </w:r>
  </w:p>
  <w:p w:rsidR="00B71707" w:rsidRPr="00B71707" w:rsidRDefault="00B71707" w:rsidP="00B7170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10F6E"/>
    <w:multiLevelType w:val="hybridMultilevel"/>
    <w:tmpl w:val="5558909A"/>
    <w:lvl w:ilvl="0" w:tplc="0409000F">
      <w:start w:val="1"/>
      <w:numFmt w:val="decimal"/>
      <w:lvlText w:val="%1."/>
      <w:lvlJc w:val="left"/>
      <w:pPr>
        <w:tabs>
          <w:tab w:val="num" w:pos="360"/>
        </w:tabs>
        <w:ind w:left="360" w:hanging="360"/>
      </w:pPr>
      <w:rPr>
        <w:rFonts w:hint="default"/>
      </w:rPr>
    </w:lvl>
    <w:lvl w:ilvl="1" w:tplc="C6203B76">
      <w:start w:val="1"/>
      <w:numFmt w:val="hebrew1"/>
      <w:lvlText w:val="%2."/>
      <w:lvlJc w:val="center"/>
      <w:pPr>
        <w:tabs>
          <w:tab w:val="num" w:pos="1080"/>
        </w:tabs>
        <w:ind w:left="1080" w:hanging="360"/>
      </w:pPr>
      <w:rPr>
        <w:lang w:val="en-US"/>
      </w:rPr>
    </w:lvl>
    <w:lvl w:ilvl="2" w:tplc="19F8A460">
      <w:numFmt w:val="bullet"/>
      <w:lvlText w:val="-"/>
      <w:lvlJc w:val="left"/>
      <w:pPr>
        <w:ind w:left="1980" w:hanging="360"/>
      </w:pPr>
      <w:rPr>
        <w:rFonts w:ascii="Times New Roman" w:eastAsia="Times New Roman" w:hAnsi="Times New Roman" w:cs="David" w:hint="default"/>
      </w:rPr>
    </w:lvl>
    <w:lvl w:ilvl="3" w:tplc="0409000F">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E2F"/>
    <w:rsid w:val="00047A76"/>
    <w:rsid w:val="000E6FC1"/>
    <w:rsid w:val="001405FA"/>
    <w:rsid w:val="001C5E85"/>
    <w:rsid w:val="00206106"/>
    <w:rsid w:val="0023404D"/>
    <w:rsid w:val="002D5BE4"/>
    <w:rsid w:val="003570F5"/>
    <w:rsid w:val="00385B78"/>
    <w:rsid w:val="003A04D1"/>
    <w:rsid w:val="003A7DE2"/>
    <w:rsid w:val="003E4D20"/>
    <w:rsid w:val="00404EC1"/>
    <w:rsid w:val="0041594E"/>
    <w:rsid w:val="00431CC1"/>
    <w:rsid w:val="00437DE3"/>
    <w:rsid w:val="004445A8"/>
    <w:rsid w:val="00486BF4"/>
    <w:rsid w:val="0051548E"/>
    <w:rsid w:val="005348BE"/>
    <w:rsid w:val="00542E19"/>
    <w:rsid w:val="00543B84"/>
    <w:rsid w:val="005E3E82"/>
    <w:rsid w:val="0060617F"/>
    <w:rsid w:val="00702D4A"/>
    <w:rsid w:val="00727272"/>
    <w:rsid w:val="007571FF"/>
    <w:rsid w:val="007D4465"/>
    <w:rsid w:val="00813226"/>
    <w:rsid w:val="00832EAC"/>
    <w:rsid w:val="008A6235"/>
    <w:rsid w:val="008F16BE"/>
    <w:rsid w:val="00921BF4"/>
    <w:rsid w:val="00965E5C"/>
    <w:rsid w:val="0097406E"/>
    <w:rsid w:val="00AC6309"/>
    <w:rsid w:val="00B21F6C"/>
    <w:rsid w:val="00B71707"/>
    <w:rsid w:val="00B9262D"/>
    <w:rsid w:val="00BB3E16"/>
    <w:rsid w:val="00BC4D55"/>
    <w:rsid w:val="00C177A5"/>
    <w:rsid w:val="00C66944"/>
    <w:rsid w:val="00C83BC9"/>
    <w:rsid w:val="00CB7C2B"/>
    <w:rsid w:val="00D0085E"/>
    <w:rsid w:val="00D07503"/>
    <w:rsid w:val="00D663B1"/>
    <w:rsid w:val="00D85E2F"/>
    <w:rsid w:val="00D96A2D"/>
    <w:rsid w:val="00DA5FE3"/>
    <w:rsid w:val="00DD2D70"/>
    <w:rsid w:val="00DF609D"/>
    <w:rsid w:val="00E326BA"/>
    <w:rsid w:val="00E4014C"/>
    <w:rsid w:val="00E55A21"/>
    <w:rsid w:val="00EC3F66"/>
    <w:rsid w:val="00ED19F7"/>
    <w:rsid w:val="00ED2050"/>
    <w:rsid w:val="00EE67AA"/>
    <w:rsid w:val="00F773C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2"/>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unhideWhenUsed="1"/>
    <w:lsdException w:name="footer" w:semiHidden="1" w:unhideWhenUsed="1"/>
    <w:lsdException w:name="caption" w:semiHidden="1" w:unhideWhenUsed="1" w:qFormat="1"/>
    <w:lsdException w:name="Title" w:qFormat="1"/>
    <w:lsdException w:name="Default Paragraph Font" w:semiHidden="1" w:unhideWhenUsed="1"/>
    <w:lsdException w:name="Subtitle" w:qFormat="1"/>
    <w:lsdException w:name="Hyperlink" w:semiHidden="1" w:unhideWhenUsed="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lsdException w:name="Normal Table" w:semiHidden="1" w:uiPriority="99" w:unhideWhenUsed="1"/>
    <w:lsdException w:name="No List"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3F66"/>
  </w:style>
  <w:style w:type="paragraph" w:styleId="1">
    <w:name w:val="heading 1"/>
    <w:basedOn w:val="a"/>
    <w:next w:val="a"/>
    <w:link w:val="10"/>
    <w:qFormat/>
    <w:rsid w:val="00B71707"/>
    <w:pPr>
      <w:bidi/>
      <w:spacing w:before="480" w:after="360" w:line="276" w:lineRule="auto"/>
      <w:jc w:val="center"/>
      <w:outlineLvl w:val="0"/>
    </w:pPr>
    <w:rPr>
      <w:rFonts w:asciiTheme="minorBidi" w:eastAsia="Times New Roman" w:hAnsiTheme="minorBidi" w:cstheme="minorBidi"/>
      <w:b/>
      <w:bCs/>
      <w:sz w:val="28"/>
      <w:szCs w:val="28"/>
      <w:u w:val="single"/>
    </w:rPr>
  </w:style>
  <w:style w:type="paragraph" w:styleId="2">
    <w:name w:val="heading 2"/>
    <w:basedOn w:val="a"/>
    <w:next w:val="a"/>
    <w:link w:val="20"/>
    <w:uiPriority w:val="9"/>
    <w:unhideWhenUsed/>
    <w:qFormat/>
    <w:rsid w:val="00F773CB"/>
    <w:pPr>
      <w:bidi/>
      <w:spacing w:before="360" w:after="360" w:line="276" w:lineRule="auto"/>
      <w:jc w:val="both"/>
      <w:outlineLvl w:val="1"/>
    </w:pPr>
    <w:rPr>
      <w:rFonts w:asciiTheme="minorBidi" w:hAnsiTheme="minorBidi" w:cstheme="minorBidi"/>
      <w:b/>
      <w:bCs/>
      <w:sz w:val="26"/>
      <w:szCs w:val="26"/>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C3F66"/>
    <w:pPr>
      <w:tabs>
        <w:tab w:val="center" w:pos="4153"/>
        <w:tab w:val="right" w:pos="8306"/>
      </w:tabs>
    </w:pPr>
    <w:rPr>
      <w:rFonts w:eastAsia="Times New Roman"/>
    </w:rPr>
  </w:style>
  <w:style w:type="character" w:customStyle="1" w:styleId="a4">
    <w:name w:val="כותרת עליונה תו"/>
    <w:basedOn w:val="a0"/>
    <w:link w:val="a3"/>
    <w:uiPriority w:val="99"/>
    <w:rsid w:val="00EC3F66"/>
    <w:rPr>
      <w:rFonts w:ascii="Times New Roman" w:eastAsia="Times New Roman" w:hAnsi="Times New Roman" w:cs="Times New Roman"/>
      <w:sz w:val="24"/>
      <w:szCs w:val="24"/>
    </w:rPr>
  </w:style>
  <w:style w:type="paragraph" w:styleId="a5">
    <w:name w:val="footer"/>
    <w:basedOn w:val="a"/>
    <w:link w:val="a6"/>
    <w:rsid w:val="00EC3F66"/>
    <w:pPr>
      <w:tabs>
        <w:tab w:val="center" w:pos="4153"/>
        <w:tab w:val="right" w:pos="8306"/>
      </w:tabs>
    </w:pPr>
    <w:rPr>
      <w:rFonts w:eastAsia="Times New Roman"/>
    </w:rPr>
  </w:style>
  <w:style w:type="character" w:customStyle="1" w:styleId="a6">
    <w:name w:val="כותרת תחתונה תו"/>
    <w:basedOn w:val="a0"/>
    <w:link w:val="a5"/>
    <w:rsid w:val="00EC3F66"/>
    <w:rPr>
      <w:rFonts w:ascii="Times New Roman" w:eastAsia="Times New Roman" w:hAnsi="Times New Roman" w:cs="Times New Roman"/>
      <w:sz w:val="24"/>
      <w:szCs w:val="24"/>
    </w:rPr>
  </w:style>
  <w:style w:type="paragraph" w:styleId="a7">
    <w:name w:val="Subtitle"/>
    <w:basedOn w:val="a"/>
    <w:link w:val="a8"/>
    <w:qFormat/>
    <w:rsid w:val="0023404D"/>
    <w:pPr>
      <w:bidi/>
      <w:spacing w:line="276" w:lineRule="auto"/>
      <w:jc w:val="right"/>
    </w:pPr>
    <w:rPr>
      <w:rFonts w:asciiTheme="minorBidi" w:eastAsia="Times New Roman" w:hAnsiTheme="minorBidi" w:cstheme="minorBidi"/>
      <w:sz w:val="24"/>
      <w:szCs w:val="24"/>
    </w:rPr>
  </w:style>
  <w:style w:type="character" w:customStyle="1" w:styleId="a8">
    <w:name w:val="כותרת משנה תו"/>
    <w:basedOn w:val="a0"/>
    <w:link w:val="a7"/>
    <w:rsid w:val="0023404D"/>
    <w:rPr>
      <w:rFonts w:asciiTheme="minorBidi" w:eastAsia="Times New Roman" w:hAnsiTheme="minorBidi" w:cstheme="minorBidi"/>
      <w:sz w:val="24"/>
      <w:szCs w:val="24"/>
    </w:rPr>
  </w:style>
  <w:style w:type="character" w:styleId="Hyperlink">
    <w:name w:val="Hyperlink"/>
    <w:rsid w:val="00EC3F66"/>
    <w:rPr>
      <w:color w:val="0000FF"/>
      <w:u w:val="single"/>
    </w:rPr>
  </w:style>
  <w:style w:type="character" w:styleId="a9">
    <w:name w:val="Strong"/>
    <w:uiPriority w:val="22"/>
    <w:qFormat/>
    <w:rsid w:val="00EC3F66"/>
    <w:rPr>
      <w:b/>
      <w:bCs/>
    </w:rPr>
  </w:style>
  <w:style w:type="paragraph" w:styleId="NormalWeb">
    <w:name w:val="Normal (Web)"/>
    <w:basedOn w:val="a"/>
    <w:uiPriority w:val="99"/>
    <w:unhideWhenUsed/>
    <w:rsid w:val="00EC3F66"/>
    <w:pPr>
      <w:spacing w:after="150"/>
    </w:pPr>
    <w:rPr>
      <w:rFonts w:eastAsia="Times New Roman"/>
    </w:rPr>
  </w:style>
  <w:style w:type="paragraph" w:styleId="aa">
    <w:name w:val="Balloon Text"/>
    <w:basedOn w:val="a"/>
    <w:link w:val="ab"/>
    <w:semiHidden/>
    <w:rsid w:val="00EC3F66"/>
    <w:rPr>
      <w:rFonts w:ascii="Tahoma" w:eastAsia="Times New Roman" w:hAnsi="Tahoma" w:cs="Tahoma"/>
      <w:sz w:val="16"/>
      <w:szCs w:val="16"/>
    </w:rPr>
  </w:style>
  <w:style w:type="character" w:customStyle="1" w:styleId="ab">
    <w:name w:val="טקסט בלונים תו"/>
    <w:basedOn w:val="a0"/>
    <w:link w:val="aa"/>
    <w:semiHidden/>
    <w:rsid w:val="00EC3F66"/>
    <w:rPr>
      <w:rFonts w:ascii="Tahoma" w:eastAsia="Times New Roman" w:hAnsi="Tahoma" w:cs="Tahoma"/>
      <w:sz w:val="16"/>
      <w:szCs w:val="16"/>
    </w:rPr>
  </w:style>
  <w:style w:type="paragraph" w:styleId="ac">
    <w:name w:val="List Paragraph"/>
    <w:basedOn w:val="a"/>
    <w:uiPriority w:val="34"/>
    <w:qFormat/>
    <w:rsid w:val="00EC3F66"/>
    <w:pPr>
      <w:ind w:left="720"/>
    </w:pPr>
    <w:rPr>
      <w:rFonts w:eastAsia="Times New Roman"/>
    </w:rPr>
  </w:style>
  <w:style w:type="character" w:customStyle="1" w:styleId="20">
    <w:name w:val="כותרת 2 תו"/>
    <w:basedOn w:val="a0"/>
    <w:link w:val="2"/>
    <w:uiPriority w:val="9"/>
    <w:rsid w:val="00F773CB"/>
    <w:rPr>
      <w:rFonts w:asciiTheme="minorBidi" w:hAnsiTheme="minorBidi" w:cstheme="minorBidi"/>
      <w:b/>
      <w:bCs/>
      <w:sz w:val="26"/>
      <w:szCs w:val="26"/>
      <w:u w:val="single"/>
    </w:rPr>
  </w:style>
  <w:style w:type="paragraph" w:customStyle="1" w:styleId="ContactInfo">
    <w:name w:val="Contact Info"/>
    <w:basedOn w:val="a"/>
    <w:uiPriority w:val="12"/>
    <w:qFormat/>
    <w:rsid w:val="00D85E2F"/>
    <w:pPr>
      <w:ind w:left="720"/>
      <w:contextualSpacing/>
    </w:pPr>
    <w:rPr>
      <w:rFonts w:asciiTheme="minorHAnsi" w:hAnsiTheme="minorHAnsi" w:cstheme="minorBidi"/>
      <w:sz w:val="20"/>
      <w:szCs w:val="22"/>
      <w:lang w:val="de-DE" w:bidi="ar-SA"/>
    </w:rPr>
  </w:style>
  <w:style w:type="table" w:styleId="ad">
    <w:name w:val="Table Grid"/>
    <w:basedOn w:val="a1"/>
    <w:rsid w:val="00D8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כותרת 1 תו"/>
    <w:basedOn w:val="a0"/>
    <w:link w:val="1"/>
    <w:rsid w:val="00B71707"/>
    <w:rPr>
      <w:rFonts w:asciiTheme="minorBidi" w:eastAsia="Times New Roman" w:hAnsiTheme="minorBidi" w:cstheme="minorBidi"/>
      <w:b/>
      <w:bCs/>
      <w:sz w:val="28"/>
      <w:szCs w:val="28"/>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2"/>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unhideWhenUsed="1"/>
    <w:lsdException w:name="footer" w:semiHidden="1" w:unhideWhenUsed="1"/>
    <w:lsdException w:name="caption" w:semiHidden="1" w:unhideWhenUsed="1" w:qFormat="1"/>
    <w:lsdException w:name="Title" w:qFormat="1"/>
    <w:lsdException w:name="Default Paragraph Font" w:semiHidden="1" w:unhideWhenUsed="1"/>
    <w:lsdException w:name="Subtitle" w:qFormat="1"/>
    <w:lsdException w:name="Hyperlink" w:semiHidden="1" w:unhideWhenUsed="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lsdException w:name="Normal Table" w:semiHidden="1" w:uiPriority="99" w:unhideWhenUsed="1"/>
    <w:lsdException w:name="No List"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3F66"/>
  </w:style>
  <w:style w:type="paragraph" w:styleId="1">
    <w:name w:val="heading 1"/>
    <w:basedOn w:val="a"/>
    <w:next w:val="a"/>
    <w:link w:val="10"/>
    <w:qFormat/>
    <w:rsid w:val="00B71707"/>
    <w:pPr>
      <w:bidi/>
      <w:spacing w:before="480" w:after="360" w:line="276" w:lineRule="auto"/>
      <w:jc w:val="center"/>
      <w:outlineLvl w:val="0"/>
    </w:pPr>
    <w:rPr>
      <w:rFonts w:asciiTheme="minorBidi" w:eastAsia="Times New Roman" w:hAnsiTheme="minorBidi" w:cstheme="minorBidi"/>
      <w:b/>
      <w:bCs/>
      <w:sz w:val="28"/>
      <w:szCs w:val="28"/>
      <w:u w:val="single"/>
    </w:rPr>
  </w:style>
  <w:style w:type="paragraph" w:styleId="2">
    <w:name w:val="heading 2"/>
    <w:basedOn w:val="a"/>
    <w:next w:val="a"/>
    <w:link w:val="20"/>
    <w:uiPriority w:val="9"/>
    <w:unhideWhenUsed/>
    <w:qFormat/>
    <w:rsid w:val="00F773CB"/>
    <w:pPr>
      <w:bidi/>
      <w:spacing w:before="360" w:after="360" w:line="276" w:lineRule="auto"/>
      <w:jc w:val="both"/>
      <w:outlineLvl w:val="1"/>
    </w:pPr>
    <w:rPr>
      <w:rFonts w:asciiTheme="minorBidi" w:hAnsiTheme="minorBidi" w:cstheme="minorBidi"/>
      <w:b/>
      <w:bCs/>
      <w:sz w:val="26"/>
      <w:szCs w:val="26"/>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C3F66"/>
    <w:pPr>
      <w:tabs>
        <w:tab w:val="center" w:pos="4153"/>
        <w:tab w:val="right" w:pos="8306"/>
      </w:tabs>
    </w:pPr>
    <w:rPr>
      <w:rFonts w:eastAsia="Times New Roman"/>
    </w:rPr>
  </w:style>
  <w:style w:type="character" w:customStyle="1" w:styleId="a4">
    <w:name w:val="כותרת עליונה תו"/>
    <w:basedOn w:val="a0"/>
    <w:link w:val="a3"/>
    <w:uiPriority w:val="99"/>
    <w:rsid w:val="00EC3F66"/>
    <w:rPr>
      <w:rFonts w:ascii="Times New Roman" w:eastAsia="Times New Roman" w:hAnsi="Times New Roman" w:cs="Times New Roman"/>
      <w:sz w:val="24"/>
      <w:szCs w:val="24"/>
    </w:rPr>
  </w:style>
  <w:style w:type="paragraph" w:styleId="a5">
    <w:name w:val="footer"/>
    <w:basedOn w:val="a"/>
    <w:link w:val="a6"/>
    <w:rsid w:val="00EC3F66"/>
    <w:pPr>
      <w:tabs>
        <w:tab w:val="center" w:pos="4153"/>
        <w:tab w:val="right" w:pos="8306"/>
      </w:tabs>
    </w:pPr>
    <w:rPr>
      <w:rFonts w:eastAsia="Times New Roman"/>
    </w:rPr>
  </w:style>
  <w:style w:type="character" w:customStyle="1" w:styleId="a6">
    <w:name w:val="כותרת תחתונה תו"/>
    <w:basedOn w:val="a0"/>
    <w:link w:val="a5"/>
    <w:rsid w:val="00EC3F66"/>
    <w:rPr>
      <w:rFonts w:ascii="Times New Roman" w:eastAsia="Times New Roman" w:hAnsi="Times New Roman" w:cs="Times New Roman"/>
      <w:sz w:val="24"/>
      <w:szCs w:val="24"/>
    </w:rPr>
  </w:style>
  <w:style w:type="paragraph" w:styleId="a7">
    <w:name w:val="Subtitle"/>
    <w:basedOn w:val="a"/>
    <w:link w:val="a8"/>
    <w:qFormat/>
    <w:rsid w:val="0023404D"/>
    <w:pPr>
      <w:bidi/>
      <w:spacing w:line="276" w:lineRule="auto"/>
      <w:jc w:val="right"/>
    </w:pPr>
    <w:rPr>
      <w:rFonts w:asciiTheme="minorBidi" w:eastAsia="Times New Roman" w:hAnsiTheme="minorBidi" w:cstheme="minorBidi"/>
      <w:sz w:val="24"/>
      <w:szCs w:val="24"/>
    </w:rPr>
  </w:style>
  <w:style w:type="character" w:customStyle="1" w:styleId="a8">
    <w:name w:val="כותרת משנה תו"/>
    <w:basedOn w:val="a0"/>
    <w:link w:val="a7"/>
    <w:rsid w:val="0023404D"/>
    <w:rPr>
      <w:rFonts w:asciiTheme="minorBidi" w:eastAsia="Times New Roman" w:hAnsiTheme="minorBidi" w:cstheme="minorBidi"/>
      <w:sz w:val="24"/>
      <w:szCs w:val="24"/>
    </w:rPr>
  </w:style>
  <w:style w:type="character" w:styleId="Hyperlink">
    <w:name w:val="Hyperlink"/>
    <w:rsid w:val="00EC3F66"/>
    <w:rPr>
      <w:color w:val="0000FF"/>
      <w:u w:val="single"/>
    </w:rPr>
  </w:style>
  <w:style w:type="character" w:styleId="a9">
    <w:name w:val="Strong"/>
    <w:uiPriority w:val="22"/>
    <w:qFormat/>
    <w:rsid w:val="00EC3F66"/>
    <w:rPr>
      <w:b/>
      <w:bCs/>
    </w:rPr>
  </w:style>
  <w:style w:type="paragraph" w:styleId="NormalWeb">
    <w:name w:val="Normal (Web)"/>
    <w:basedOn w:val="a"/>
    <w:uiPriority w:val="99"/>
    <w:unhideWhenUsed/>
    <w:rsid w:val="00EC3F66"/>
    <w:pPr>
      <w:spacing w:after="150"/>
    </w:pPr>
    <w:rPr>
      <w:rFonts w:eastAsia="Times New Roman"/>
    </w:rPr>
  </w:style>
  <w:style w:type="paragraph" w:styleId="aa">
    <w:name w:val="Balloon Text"/>
    <w:basedOn w:val="a"/>
    <w:link w:val="ab"/>
    <w:semiHidden/>
    <w:rsid w:val="00EC3F66"/>
    <w:rPr>
      <w:rFonts w:ascii="Tahoma" w:eastAsia="Times New Roman" w:hAnsi="Tahoma" w:cs="Tahoma"/>
      <w:sz w:val="16"/>
      <w:szCs w:val="16"/>
    </w:rPr>
  </w:style>
  <w:style w:type="character" w:customStyle="1" w:styleId="ab">
    <w:name w:val="טקסט בלונים תו"/>
    <w:basedOn w:val="a0"/>
    <w:link w:val="aa"/>
    <w:semiHidden/>
    <w:rsid w:val="00EC3F66"/>
    <w:rPr>
      <w:rFonts w:ascii="Tahoma" w:eastAsia="Times New Roman" w:hAnsi="Tahoma" w:cs="Tahoma"/>
      <w:sz w:val="16"/>
      <w:szCs w:val="16"/>
    </w:rPr>
  </w:style>
  <w:style w:type="paragraph" w:styleId="ac">
    <w:name w:val="List Paragraph"/>
    <w:basedOn w:val="a"/>
    <w:uiPriority w:val="34"/>
    <w:qFormat/>
    <w:rsid w:val="00EC3F66"/>
    <w:pPr>
      <w:ind w:left="720"/>
    </w:pPr>
    <w:rPr>
      <w:rFonts w:eastAsia="Times New Roman"/>
    </w:rPr>
  </w:style>
  <w:style w:type="character" w:customStyle="1" w:styleId="20">
    <w:name w:val="כותרת 2 תו"/>
    <w:basedOn w:val="a0"/>
    <w:link w:val="2"/>
    <w:uiPriority w:val="9"/>
    <w:rsid w:val="00F773CB"/>
    <w:rPr>
      <w:rFonts w:asciiTheme="minorBidi" w:hAnsiTheme="minorBidi" w:cstheme="minorBidi"/>
      <w:b/>
      <w:bCs/>
      <w:sz w:val="26"/>
      <w:szCs w:val="26"/>
      <w:u w:val="single"/>
    </w:rPr>
  </w:style>
  <w:style w:type="paragraph" w:customStyle="1" w:styleId="ContactInfo">
    <w:name w:val="Contact Info"/>
    <w:basedOn w:val="a"/>
    <w:uiPriority w:val="12"/>
    <w:qFormat/>
    <w:rsid w:val="00D85E2F"/>
    <w:pPr>
      <w:ind w:left="720"/>
      <w:contextualSpacing/>
    </w:pPr>
    <w:rPr>
      <w:rFonts w:asciiTheme="minorHAnsi" w:hAnsiTheme="minorHAnsi" w:cstheme="minorBidi"/>
      <w:sz w:val="20"/>
      <w:szCs w:val="22"/>
      <w:lang w:val="de-DE" w:bidi="ar-SA"/>
    </w:rPr>
  </w:style>
  <w:style w:type="table" w:styleId="ad">
    <w:name w:val="Table Grid"/>
    <w:basedOn w:val="a1"/>
    <w:rsid w:val="00D8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כותרת 1 תו"/>
    <w:basedOn w:val="a0"/>
    <w:link w:val="1"/>
    <w:rsid w:val="00B71707"/>
    <w:rPr>
      <w:rFonts w:asciiTheme="minorBidi" w:eastAsia="Times New Roman" w:hAnsiTheme="minorBidi" w:cstheme="minorBidi"/>
      <w:b/>
      <w:bCs/>
      <w:sz w:val="28"/>
      <w:szCs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6063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customXml" Target="../customXml/item2.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mugbaluyot.mishpatim.gov.i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mugbaluyot.mishpatim.gov.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מסמך" ma:contentTypeID="0x0101009BA81217AA214042890B596C80B672E2" ma:contentTypeVersion="0" ma:contentTypeDescription="צור מסמך חדש." ma:contentTypeScope="" ma:versionID="8bcaa7219755a55e8b8340f0766a8100">
  <xsd:schema xmlns:xsd="http://www.w3.org/2001/XMLSchema" xmlns:xs="http://www.w3.org/2001/XMLSchema" xmlns:p="http://schemas.microsoft.com/office/2006/metadata/properties" xmlns:ns2="403e13fb-a07d-4f9e-a9c4-f5e56d998db3" targetNamespace="http://schemas.microsoft.com/office/2006/metadata/properties" ma:root="true" ma:fieldsID="93d48a4ba069df4f915f94217ee733c3" ns2:_="">
    <xsd:import namespace="403e13fb-a07d-4f9e-a9c4-f5e56d998db3"/>
    <xsd:element name="properties">
      <xsd:complexType>
        <xsd:sequence>
          <xsd:element name="documentManagement">
            <xsd:complexType>
              <xsd:all>
                <xsd:element ref="ns2:_x05de__x05e1__x05e4__x05e8__x0020__x05ea__x05d9__x05e7__x05d5__x05d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3e13fb-a07d-4f9e-a9c4-f5e56d998db3" elementFormDefault="qualified">
    <xsd:import namespace="http://schemas.microsoft.com/office/2006/documentManagement/types"/>
    <xsd:import namespace="http://schemas.microsoft.com/office/infopath/2007/PartnerControls"/>
    <xsd:element name="_x05de__x05e1__x05e4__x05e8__x0020__x05ea__x05d9__x05e7__x05d5__x05df_" ma:index="8" nillable="true" ma:displayName="מספר תיקון" ma:internalName="_x05de__x05e1__x05e4__x05e8__x0020__x05ea__x05d9__x05e7__x05d5__x05df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 StyleName="" Version="0"/>
</file>

<file path=customXml/item4.xml><?xml version="1.0" encoding="utf-8"?>
<p:properties xmlns:p="http://schemas.microsoft.com/office/2006/metadata/properties" xmlns:xsi="http://www.w3.org/2001/XMLSchema-instance" xmlns:pc="http://schemas.microsoft.com/office/infopath/2007/PartnerControls">
  <documentManagement>
    <_x05de__x05e1__x05e4__x05e8__x0020__x05ea__x05d9__x05e7__x05d5__x05df_ xmlns="403e13fb-a07d-4f9e-a9c4-f5e56d998db3" xsi:nil="true"/>
  </documentManagement>
</p:properties>
</file>

<file path=customXml/itemProps1.xml><?xml version="1.0" encoding="utf-8"?>
<ds:datastoreItem xmlns:ds="http://schemas.openxmlformats.org/officeDocument/2006/customXml" ds:itemID="{A5D67F95-22BF-46C9-B565-485E32F94216}"/>
</file>

<file path=customXml/itemProps2.xml><?xml version="1.0" encoding="utf-8"?>
<ds:datastoreItem xmlns:ds="http://schemas.openxmlformats.org/officeDocument/2006/customXml" ds:itemID="{96A7F7B8-DE53-4B94-8325-459C5E8C4F09}"/>
</file>

<file path=customXml/itemProps3.xml><?xml version="1.0" encoding="utf-8"?>
<ds:datastoreItem xmlns:ds="http://schemas.openxmlformats.org/officeDocument/2006/customXml" ds:itemID="{1F29F5B4-267C-446F-9BC1-34EA7C0D4652}"/>
</file>

<file path=customXml/itemProps4.xml><?xml version="1.0" encoding="utf-8"?>
<ds:datastoreItem xmlns:ds="http://schemas.openxmlformats.org/officeDocument/2006/customXml" ds:itemID="{E3A5F573-D066-473D-B6F7-FAC47472F3DA}"/>
</file>

<file path=docProps/app.xml><?xml version="1.0" encoding="utf-8"?>
<Properties xmlns="http://schemas.openxmlformats.org/officeDocument/2006/extended-properties" xmlns:vt="http://schemas.openxmlformats.org/officeDocument/2006/docPropsVTypes">
  <Template>D3EAB5EA.dotm</Template>
  <TotalTime>12</TotalTime>
  <Pages>4</Pages>
  <Words>1168</Words>
  <Characters>5840</Characters>
  <Application>Microsoft Office Word</Application>
  <DocSecurity>0</DocSecurity>
  <Lines>48</Lines>
  <Paragraphs>13</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MOJ</Company>
  <LinksUpToDate>false</LinksUpToDate>
  <CharactersWithSpaces>6995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עמדת נציבות - תובענות ייצוגיות נגישות דרכים</dc:title>
  <dc:creator>Tal Shachar luzzatto</dc:creator>
  <cp:lastModifiedBy>Yisrael Haber</cp:lastModifiedBy>
  <cp:revision>7</cp:revision>
  <dcterms:created xsi:type="dcterms:W3CDTF">2019-03-05T11:29:00Z</dcterms:created>
  <dcterms:modified xsi:type="dcterms:W3CDTF">2019-03-06T08:07:00Z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ubject">
    <vt:lpwstr>נדון</vt:lpwstr>
  </property>
  <property fmtid="{D5CDD505-2E9C-101B-9397-08002B2CF9AE}" pid="3" name="DocNumber">
    <vt:lpwstr>סימוכין</vt:lpwstr>
  </property>
  <property fmtid="{D5CDD505-2E9C-101B-9397-08002B2CF9AE}" pid="4" name="DocDateHeb">
    <vt:lpwstr>עברי</vt:lpwstr>
  </property>
  <property fmtid="{D5CDD505-2E9C-101B-9397-08002B2CF9AE}" pid="5" name="DocDateEng">
    <vt:lpwstr>לועזי</vt:lpwstr>
  </property>
  <property fmtid="{D5CDD505-2E9C-101B-9397-08002B2CF9AE}" pid="6" name="DocTo">
    <vt:lpwstr>נמען</vt:lpwstr>
  </property>
  <property fmtid="{D5CDD505-2E9C-101B-9397-08002B2CF9AE}" pid="7" name="DocRecipients ">
    <vt:lpwstr>מכותבים</vt:lpwstr>
  </property>
  <property fmtid="{D5CDD505-2E9C-101B-9397-08002B2CF9AE}" pid="8" name="DocFolder">
    <vt:lpwstr>מספר תיק</vt:lpwstr>
  </property>
  <property fmtid="{D5CDD505-2E9C-101B-9397-08002B2CF9AE}" pid="9" name="DocRecipients">
    <vt:lpwstr>מכותב</vt:lpwstr>
  </property>
  <property fmtid="{D5CDD505-2E9C-101B-9397-08002B2CF9AE}" pid="10" name="ContentTypeId">
    <vt:lpwstr>0x0101009BA81217AA214042890B596C80B672E2</vt:lpwstr>
  </property>
</Properties>
</file>